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7FF" w:rsidRDefault="005077FF" w:rsidP="00166F7E">
      <w:pPr>
        <w:jc w:val="right"/>
        <w:rPr>
          <w:rFonts w:ascii="Garamond" w:hAnsi="Garamond"/>
          <w:b/>
          <w:sz w:val="24"/>
          <w:szCs w:val="24"/>
        </w:rPr>
      </w:pPr>
    </w:p>
    <w:p w:rsidR="00166F7E" w:rsidRDefault="00166F7E" w:rsidP="00166F7E">
      <w:pPr>
        <w:jc w:val="center"/>
        <w:rPr>
          <w:rFonts w:ascii="Garamond" w:hAnsi="Garamond"/>
          <w:b/>
          <w:sz w:val="24"/>
          <w:szCs w:val="24"/>
        </w:rPr>
      </w:pPr>
      <w:r w:rsidRPr="008E37E2">
        <w:rPr>
          <w:rFonts w:ascii="Garamond" w:hAnsi="Garamond" w:cs="Arial"/>
          <w:noProof/>
          <w:sz w:val="40"/>
          <w:szCs w:val="40"/>
        </w:rPr>
        <w:drawing>
          <wp:inline distT="0" distB="0" distL="0" distR="0" wp14:anchorId="7EBEBD56" wp14:editId="76727F8E">
            <wp:extent cx="1894840" cy="1152491"/>
            <wp:effectExtent l="0" t="0" r="0" b="0"/>
            <wp:docPr id="2" name="Picture 2" descr="C:\Windows\system32\config\systemprofile\Desktop\Mohoka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2747" cy="1163383"/>
                    </a:xfrm>
                    <a:prstGeom prst="rect">
                      <a:avLst/>
                    </a:prstGeom>
                    <a:noFill/>
                    <a:ln>
                      <a:noFill/>
                    </a:ln>
                  </pic:spPr>
                </pic:pic>
              </a:graphicData>
            </a:graphic>
          </wp:inline>
        </w:drawing>
      </w:r>
    </w:p>
    <w:p w:rsidR="00166F7E" w:rsidRPr="00166F7E" w:rsidRDefault="00166F7E" w:rsidP="00166F7E">
      <w:pPr>
        <w:jc w:val="center"/>
        <w:rPr>
          <w:rFonts w:ascii="Garamond" w:hAnsi="Garamond"/>
          <w:b/>
          <w:sz w:val="24"/>
          <w:szCs w:val="24"/>
        </w:rPr>
      </w:pPr>
    </w:p>
    <w:p w:rsidR="00166F7E" w:rsidRDefault="00166F7E" w:rsidP="00166F7E">
      <w:pPr>
        <w:jc w:val="center"/>
        <w:rPr>
          <w:rFonts w:ascii="Century Gothic" w:hAnsi="Century Gothic"/>
          <w:b/>
          <w:sz w:val="48"/>
          <w:szCs w:val="48"/>
        </w:rPr>
      </w:pPr>
      <w:r w:rsidRPr="00F37697">
        <w:rPr>
          <w:rFonts w:ascii="Century Gothic" w:hAnsi="Century Gothic"/>
          <w:b/>
          <w:sz w:val="48"/>
          <w:szCs w:val="48"/>
        </w:rPr>
        <w:t>UNALLOCATED DEPOSITS POLICY</w:t>
      </w:r>
    </w:p>
    <w:p w:rsidR="004B479A" w:rsidRPr="00F37697" w:rsidRDefault="004B479A" w:rsidP="00166F7E">
      <w:pPr>
        <w:jc w:val="center"/>
        <w:rPr>
          <w:rFonts w:ascii="Century Gothic" w:hAnsi="Century Gothic"/>
          <w:b/>
          <w:sz w:val="48"/>
          <w:szCs w:val="48"/>
        </w:rPr>
      </w:pPr>
    </w:p>
    <w:p w:rsidR="00166F7E" w:rsidRDefault="00756A80" w:rsidP="00166F7E">
      <w:pPr>
        <w:jc w:val="center"/>
        <w:rPr>
          <w:rFonts w:ascii="Century Gothic" w:hAnsi="Century Gothic"/>
          <w:b/>
          <w:sz w:val="48"/>
          <w:szCs w:val="48"/>
        </w:rPr>
      </w:pPr>
      <w:r>
        <w:rPr>
          <w:rFonts w:ascii="Century Gothic" w:hAnsi="Century Gothic"/>
          <w:b/>
          <w:sz w:val="48"/>
          <w:szCs w:val="48"/>
        </w:rPr>
        <w:t>2020/21</w:t>
      </w:r>
    </w:p>
    <w:p w:rsidR="004B479A" w:rsidRPr="00F37697" w:rsidRDefault="004B479A" w:rsidP="00166F7E">
      <w:pPr>
        <w:jc w:val="center"/>
        <w:rPr>
          <w:rFonts w:ascii="Century Gothic" w:hAnsi="Century Gothic"/>
          <w:b/>
          <w:sz w:val="48"/>
          <w:szCs w:val="48"/>
        </w:rPr>
      </w:pPr>
    </w:p>
    <w:p w:rsidR="00166F7E" w:rsidRPr="00F37697" w:rsidRDefault="00166F7E" w:rsidP="00166F7E">
      <w:pPr>
        <w:jc w:val="center"/>
        <w:rPr>
          <w:rFonts w:ascii="Century Gothic" w:hAnsi="Century Gothic"/>
          <w:b/>
          <w:sz w:val="48"/>
          <w:szCs w:val="48"/>
        </w:rPr>
      </w:pPr>
      <w:r w:rsidRPr="00F37697">
        <w:rPr>
          <w:rFonts w:ascii="Century Gothic" w:hAnsi="Century Gothic"/>
          <w:b/>
          <w:sz w:val="48"/>
          <w:szCs w:val="48"/>
        </w:rPr>
        <w:t>FINANCIAL PERIOD</w:t>
      </w:r>
    </w:p>
    <w:p w:rsidR="003916DF" w:rsidRDefault="003916DF" w:rsidP="00166F7E">
      <w:pPr>
        <w:jc w:val="center"/>
        <w:rPr>
          <w:rFonts w:ascii="Garamond" w:hAnsi="Garamond"/>
          <w:b/>
          <w:sz w:val="48"/>
          <w:szCs w:val="48"/>
        </w:rPr>
      </w:pPr>
    </w:p>
    <w:p w:rsidR="003916DF" w:rsidRDefault="003916DF" w:rsidP="00166F7E">
      <w:pPr>
        <w:jc w:val="center"/>
        <w:rPr>
          <w:rFonts w:ascii="Garamond" w:hAnsi="Garamond"/>
          <w:b/>
          <w:sz w:val="48"/>
          <w:szCs w:val="48"/>
        </w:rPr>
      </w:pPr>
    </w:p>
    <w:p w:rsidR="003916DF" w:rsidRDefault="003916DF" w:rsidP="00166F7E">
      <w:pPr>
        <w:jc w:val="center"/>
        <w:rPr>
          <w:rFonts w:ascii="Garamond" w:hAnsi="Garamond"/>
          <w:b/>
          <w:sz w:val="48"/>
          <w:szCs w:val="48"/>
        </w:rPr>
      </w:pPr>
    </w:p>
    <w:p w:rsidR="003916DF" w:rsidRDefault="003916DF" w:rsidP="00166F7E">
      <w:pPr>
        <w:jc w:val="center"/>
        <w:rPr>
          <w:rFonts w:ascii="Garamond" w:hAnsi="Garamond"/>
          <w:b/>
          <w:sz w:val="48"/>
          <w:szCs w:val="48"/>
        </w:rPr>
      </w:pPr>
    </w:p>
    <w:p w:rsidR="003916DF" w:rsidRDefault="003916DF" w:rsidP="00166F7E">
      <w:pPr>
        <w:jc w:val="center"/>
        <w:rPr>
          <w:rFonts w:ascii="Garamond" w:hAnsi="Garamond"/>
          <w:b/>
          <w:sz w:val="48"/>
          <w:szCs w:val="48"/>
        </w:rPr>
      </w:pPr>
    </w:p>
    <w:p w:rsidR="003916DF" w:rsidRDefault="003916DF" w:rsidP="00166F7E">
      <w:pPr>
        <w:jc w:val="center"/>
        <w:rPr>
          <w:rFonts w:ascii="Garamond" w:hAnsi="Garamond"/>
          <w:b/>
          <w:sz w:val="48"/>
          <w:szCs w:val="48"/>
        </w:rPr>
      </w:pPr>
    </w:p>
    <w:p w:rsidR="003916DF" w:rsidRDefault="003916DF" w:rsidP="00166F7E">
      <w:pPr>
        <w:jc w:val="center"/>
        <w:rPr>
          <w:rFonts w:ascii="Garamond" w:hAnsi="Garamond"/>
          <w:b/>
          <w:sz w:val="48"/>
          <w:szCs w:val="48"/>
        </w:rPr>
      </w:pPr>
    </w:p>
    <w:p w:rsidR="003916DF" w:rsidRDefault="003916DF" w:rsidP="004B479A">
      <w:pPr>
        <w:rPr>
          <w:rFonts w:ascii="Garamond" w:hAnsi="Garamond"/>
          <w:b/>
          <w:sz w:val="48"/>
          <w:szCs w:val="48"/>
        </w:rPr>
      </w:pPr>
    </w:p>
    <w:p w:rsidR="003916DF" w:rsidRPr="00F37697" w:rsidRDefault="003916DF" w:rsidP="003916DF">
      <w:pPr>
        <w:rPr>
          <w:rFonts w:ascii="Century Gothic" w:hAnsi="Century Gothic"/>
          <w:b/>
        </w:rPr>
      </w:pPr>
      <w:r w:rsidRPr="00F37697">
        <w:rPr>
          <w:rFonts w:ascii="Century Gothic" w:hAnsi="Century Gothic"/>
          <w:b/>
        </w:rPr>
        <w:lastRenderedPageBreak/>
        <w:t>TABLE OF CONTENTS</w:t>
      </w:r>
    </w:p>
    <w:tbl>
      <w:tblPr>
        <w:tblStyle w:val="TableGrid"/>
        <w:tblW w:w="0" w:type="auto"/>
        <w:tblLook w:val="04A0" w:firstRow="1" w:lastRow="0" w:firstColumn="1" w:lastColumn="0" w:noHBand="0" w:noVBand="1"/>
      </w:tblPr>
      <w:tblGrid>
        <w:gridCol w:w="619"/>
        <w:gridCol w:w="7626"/>
        <w:gridCol w:w="771"/>
      </w:tblGrid>
      <w:tr w:rsidR="004F59AE" w:rsidRPr="00F37697" w:rsidTr="00B755FD">
        <w:tc>
          <w:tcPr>
            <w:tcW w:w="623" w:type="dxa"/>
          </w:tcPr>
          <w:p w:rsidR="004F59AE" w:rsidRPr="00F37697" w:rsidRDefault="004F59AE" w:rsidP="00150FAA">
            <w:pPr>
              <w:jc w:val="center"/>
              <w:rPr>
                <w:rFonts w:ascii="Century Gothic" w:hAnsi="Century Gothic"/>
                <w:b/>
              </w:rPr>
            </w:pPr>
            <w:r w:rsidRPr="00F37697">
              <w:rPr>
                <w:rFonts w:ascii="Century Gothic" w:hAnsi="Century Gothic"/>
                <w:b/>
              </w:rPr>
              <w:t>No</w:t>
            </w:r>
          </w:p>
        </w:tc>
        <w:tc>
          <w:tcPr>
            <w:tcW w:w="7832" w:type="dxa"/>
          </w:tcPr>
          <w:p w:rsidR="004F59AE" w:rsidRPr="00F37697" w:rsidRDefault="008E46D9" w:rsidP="003916DF">
            <w:pPr>
              <w:rPr>
                <w:rFonts w:ascii="Century Gothic" w:hAnsi="Century Gothic"/>
                <w:b/>
              </w:rPr>
            </w:pPr>
            <w:r>
              <w:rPr>
                <w:rFonts w:ascii="Century Gothic" w:hAnsi="Century Gothic"/>
                <w:b/>
              </w:rPr>
              <w:t>Subject Matter</w:t>
            </w:r>
          </w:p>
        </w:tc>
        <w:tc>
          <w:tcPr>
            <w:tcW w:w="561" w:type="dxa"/>
          </w:tcPr>
          <w:p w:rsidR="004F59AE" w:rsidRPr="00F37697" w:rsidRDefault="00B755FD" w:rsidP="003916DF">
            <w:pPr>
              <w:rPr>
                <w:rFonts w:ascii="Century Gothic" w:hAnsi="Century Gothic"/>
                <w:b/>
              </w:rPr>
            </w:pPr>
            <w:r>
              <w:rPr>
                <w:rFonts w:ascii="Century Gothic" w:hAnsi="Century Gothic"/>
                <w:b/>
              </w:rPr>
              <w:t xml:space="preserve">Page </w:t>
            </w:r>
          </w:p>
        </w:tc>
      </w:tr>
      <w:tr w:rsidR="003916DF" w:rsidRPr="00F37697" w:rsidTr="00B755FD">
        <w:tc>
          <w:tcPr>
            <w:tcW w:w="623" w:type="dxa"/>
          </w:tcPr>
          <w:p w:rsidR="003916DF" w:rsidRPr="00F37697" w:rsidRDefault="003916DF" w:rsidP="00150FAA">
            <w:pPr>
              <w:jc w:val="center"/>
              <w:rPr>
                <w:rFonts w:ascii="Century Gothic" w:hAnsi="Century Gothic"/>
                <w:b/>
              </w:rPr>
            </w:pPr>
            <w:r w:rsidRPr="00F37697">
              <w:rPr>
                <w:rFonts w:ascii="Century Gothic" w:hAnsi="Century Gothic"/>
                <w:b/>
              </w:rPr>
              <w:t>1</w:t>
            </w:r>
          </w:p>
        </w:tc>
        <w:tc>
          <w:tcPr>
            <w:tcW w:w="7832" w:type="dxa"/>
          </w:tcPr>
          <w:p w:rsidR="003916DF" w:rsidRPr="00F37697" w:rsidRDefault="003916DF" w:rsidP="003916DF">
            <w:pPr>
              <w:rPr>
                <w:rFonts w:ascii="Century Gothic" w:hAnsi="Century Gothic"/>
                <w:b/>
              </w:rPr>
            </w:pPr>
            <w:r w:rsidRPr="00F37697">
              <w:rPr>
                <w:rFonts w:ascii="Century Gothic" w:hAnsi="Century Gothic"/>
                <w:b/>
              </w:rPr>
              <w:t>Background</w:t>
            </w:r>
          </w:p>
        </w:tc>
        <w:tc>
          <w:tcPr>
            <w:tcW w:w="561" w:type="dxa"/>
          </w:tcPr>
          <w:p w:rsidR="003916DF" w:rsidRPr="00F37697" w:rsidRDefault="00150FAA" w:rsidP="00150FAA">
            <w:pPr>
              <w:jc w:val="center"/>
              <w:rPr>
                <w:rFonts w:ascii="Century Gothic" w:hAnsi="Century Gothic"/>
                <w:b/>
              </w:rPr>
            </w:pPr>
            <w:r w:rsidRPr="00F37697">
              <w:rPr>
                <w:rFonts w:ascii="Century Gothic" w:hAnsi="Century Gothic"/>
                <w:b/>
              </w:rPr>
              <w:t>3</w:t>
            </w:r>
          </w:p>
        </w:tc>
      </w:tr>
      <w:tr w:rsidR="003916DF" w:rsidRPr="00F37697" w:rsidTr="00B755FD">
        <w:tc>
          <w:tcPr>
            <w:tcW w:w="623" w:type="dxa"/>
          </w:tcPr>
          <w:p w:rsidR="003916DF" w:rsidRPr="00F37697" w:rsidRDefault="003916DF" w:rsidP="00150FAA">
            <w:pPr>
              <w:jc w:val="center"/>
              <w:rPr>
                <w:rFonts w:ascii="Century Gothic" w:hAnsi="Century Gothic"/>
                <w:b/>
              </w:rPr>
            </w:pPr>
            <w:r w:rsidRPr="00F37697">
              <w:rPr>
                <w:rFonts w:ascii="Century Gothic" w:hAnsi="Century Gothic"/>
                <w:b/>
              </w:rPr>
              <w:t>2</w:t>
            </w:r>
          </w:p>
        </w:tc>
        <w:tc>
          <w:tcPr>
            <w:tcW w:w="7832" w:type="dxa"/>
          </w:tcPr>
          <w:p w:rsidR="003916DF" w:rsidRPr="00F37697" w:rsidRDefault="003916DF" w:rsidP="003916DF">
            <w:pPr>
              <w:rPr>
                <w:rFonts w:ascii="Century Gothic" w:hAnsi="Century Gothic"/>
                <w:b/>
              </w:rPr>
            </w:pPr>
            <w:r w:rsidRPr="00F37697">
              <w:rPr>
                <w:rFonts w:ascii="Century Gothic" w:hAnsi="Century Gothic"/>
                <w:b/>
              </w:rPr>
              <w:t>Revenue Management</w:t>
            </w:r>
          </w:p>
        </w:tc>
        <w:tc>
          <w:tcPr>
            <w:tcW w:w="561" w:type="dxa"/>
          </w:tcPr>
          <w:p w:rsidR="003916DF" w:rsidRPr="00F37697" w:rsidRDefault="00150FAA" w:rsidP="00150FAA">
            <w:pPr>
              <w:jc w:val="center"/>
              <w:rPr>
                <w:rFonts w:ascii="Century Gothic" w:hAnsi="Century Gothic"/>
                <w:b/>
              </w:rPr>
            </w:pPr>
            <w:r w:rsidRPr="00F37697">
              <w:rPr>
                <w:rFonts w:ascii="Century Gothic" w:hAnsi="Century Gothic"/>
                <w:b/>
              </w:rPr>
              <w:t>3</w:t>
            </w:r>
          </w:p>
        </w:tc>
      </w:tr>
      <w:tr w:rsidR="003916DF" w:rsidRPr="00F37697" w:rsidTr="00B755FD">
        <w:tc>
          <w:tcPr>
            <w:tcW w:w="623" w:type="dxa"/>
          </w:tcPr>
          <w:p w:rsidR="003916DF" w:rsidRPr="00F37697" w:rsidRDefault="003916DF" w:rsidP="00150FAA">
            <w:pPr>
              <w:jc w:val="center"/>
              <w:rPr>
                <w:rFonts w:ascii="Century Gothic" w:hAnsi="Century Gothic"/>
                <w:b/>
              </w:rPr>
            </w:pPr>
            <w:r w:rsidRPr="00F37697">
              <w:rPr>
                <w:rFonts w:ascii="Century Gothic" w:hAnsi="Century Gothic"/>
                <w:b/>
              </w:rPr>
              <w:t>3</w:t>
            </w:r>
          </w:p>
        </w:tc>
        <w:tc>
          <w:tcPr>
            <w:tcW w:w="7832" w:type="dxa"/>
          </w:tcPr>
          <w:p w:rsidR="003916DF" w:rsidRPr="00F37697" w:rsidRDefault="003916DF" w:rsidP="003916DF">
            <w:pPr>
              <w:rPr>
                <w:rFonts w:ascii="Century Gothic" w:hAnsi="Century Gothic"/>
                <w:b/>
              </w:rPr>
            </w:pPr>
            <w:r w:rsidRPr="00F37697">
              <w:rPr>
                <w:rFonts w:ascii="Century Gothic" w:hAnsi="Century Gothic"/>
                <w:b/>
              </w:rPr>
              <w:t xml:space="preserve">Municipal bank accounts, direct transfers and electronic banking  </w:t>
            </w:r>
          </w:p>
        </w:tc>
        <w:tc>
          <w:tcPr>
            <w:tcW w:w="561" w:type="dxa"/>
          </w:tcPr>
          <w:p w:rsidR="003916DF" w:rsidRPr="00F37697" w:rsidRDefault="00150FAA" w:rsidP="00150FAA">
            <w:pPr>
              <w:jc w:val="center"/>
              <w:rPr>
                <w:rFonts w:ascii="Century Gothic" w:hAnsi="Century Gothic"/>
                <w:b/>
              </w:rPr>
            </w:pPr>
            <w:r w:rsidRPr="00F37697">
              <w:rPr>
                <w:rFonts w:ascii="Century Gothic" w:hAnsi="Century Gothic"/>
                <w:b/>
              </w:rPr>
              <w:t>3</w:t>
            </w:r>
          </w:p>
        </w:tc>
      </w:tr>
      <w:tr w:rsidR="003916DF" w:rsidRPr="00F37697" w:rsidTr="00B755FD">
        <w:tc>
          <w:tcPr>
            <w:tcW w:w="623" w:type="dxa"/>
          </w:tcPr>
          <w:p w:rsidR="003916DF" w:rsidRPr="00F37697" w:rsidRDefault="003916DF" w:rsidP="00150FAA">
            <w:pPr>
              <w:jc w:val="center"/>
              <w:rPr>
                <w:rFonts w:ascii="Century Gothic" w:hAnsi="Century Gothic"/>
                <w:b/>
              </w:rPr>
            </w:pPr>
            <w:r w:rsidRPr="00F37697">
              <w:rPr>
                <w:rFonts w:ascii="Century Gothic" w:hAnsi="Century Gothic"/>
                <w:b/>
              </w:rPr>
              <w:t>4</w:t>
            </w:r>
          </w:p>
        </w:tc>
        <w:tc>
          <w:tcPr>
            <w:tcW w:w="7832" w:type="dxa"/>
          </w:tcPr>
          <w:p w:rsidR="003916DF" w:rsidRPr="00F37697" w:rsidRDefault="003916DF" w:rsidP="003916DF">
            <w:pPr>
              <w:rPr>
                <w:rFonts w:ascii="Century Gothic" w:hAnsi="Century Gothic"/>
                <w:b/>
              </w:rPr>
            </w:pPr>
            <w:r w:rsidRPr="00F37697">
              <w:rPr>
                <w:rFonts w:ascii="Century Gothic" w:hAnsi="Century Gothic"/>
                <w:b/>
              </w:rPr>
              <w:t>Direct bank payments</w:t>
            </w:r>
          </w:p>
        </w:tc>
        <w:tc>
          <w:tcPr>
            <w:tcW w:w="561" w:type="dxa"/>
          </w:tcPr>
          <w:p w:rsidR="003916DF" w:rsidRPr="00F37697" w:rsidRDefault="00150FAA" w:rsidP="00150FAA">
            <w:pPr>
              <w:jc w:val="center"/>
              <w:rPr>
                <w:rFonts w:ascii="Century Gothic" w:hAnsi="Century Gothic"/>
                <w:b/>
              </w:rPr>
            </w:pPr>
            <w:r w:rsidRPr="00F37697">
              <w:rPr>
                <w:rFonts w:ascii="Century Gothic" w:hAnsi="Century Gothic"/>
                <w:b/>
              </w:rPr>
              <w:t>3</w:t>
            </w:r>
          </w:p>
        </w:tc>
      </w:tr>
      <w:tr w:rsidR="003916DF" w:rsidRPr="00F37697" w:rsidTr="00B755FD">
        <w:tc>
          <w:tcPr>
            <w:tcW w:w="623" w:type="dxa"/>
          </w:tcPr>
          <w:p w:rsidR="003916DF" w:rsidRPr="00F37697" w:rsidRDefault="003916DF" w:rsidP="00150FAA">
            <w:pPr>
              <w:jc w:val="center"/>
              <w:rPr>
                <w:rFonts w:ascii="Century Gothic" w:hAnsi="Century Gothic"/>
                <w:b/>
              </w:rPr>
            </w:pPr>
            <w:r w:rsidRPr="00F37697">
              <w:rPr>
                <w:rFonts w:ascii="Century Gothic" w:hAnsi="Century Gothic"/>
                <w:b/>
              </w:rPr>
              <w:t>5</w:t>
            </w:r>
          </w:p>
        </w:tc>
        <w:tc>
          <w:tcPr>
            <w:tcW w:w="7832" w:type="dxa"/>
          </w:tcPr>
          <w:p w:rsidR="003916DF" w:rsidRPr="00F37697" w:rsidRDefault="003916DF" w:rsidP="003916DF">
            <w:pPr>
              <w:rPr>
                <w:rFonts w:ascii="Century Gothic" w:hAnsi="Century Gothic"/>
                <w:b/>
              </w:rPr>
            </w:pPr>
            <w:r w:rsidRPr="00F37697">
              <w:rPr>
                <w:rFonts w:ascii="Century Gothic" w:hAnsi="Century Gothic"/>
                <w:b/>
              </w:rPr>
              <w:t>Deposit and clearing of accounts</w:t>
            </w:r>
          </w:p>
        </w:tc>
        <w:tc>
          <w:tcPr>
            <w:tcW w:w="561" w:type="dxa"/>
          </w:tcPr>
          <w:p w:rsidR="003916DF" w:rsidRPr="00F37697" w:rsidRDefault="00F84425" w:rsidP="00150FAA">
            <w:pPr>
              <w:jc w:val="center"/>
              <w:rPr>
                <w:rFonts w:ascii="Century Gothic" w:hAnsi="Century Gothic"/>
                <w:b/>
              </w:rPr>
            </w:pPr>
            <w:r>
              <w:rPr>
                <w:rFonts w:ascii="Century Gothic" w:hAnsi="Century Gothic"/>
                <w:b/>
              </w:rPr>
              <w:t>4</w:t>
            </w:r>
          </w:p>
        </w:tc>
      </w:tr>
      <w:tr w:rsidR="003916DF" w:rsidRPr="00F37697" w:rsidTr="00B755FD">
        <w:tc>
          <w:tcPr>
            <w:tcW w:w="623" w:type="dxa"/>
          </w:tcPr>
          <w:p w:rsidR="003916DF" w:rsidRPr="00F37697" w:rsidRDefault="003916DF" w:rsidP="00150FAA">
            <w:pPr>
              <w:jc w:val="center"/>
              <w:rPr>
                <w:rFonts w:ascii="Century Gothic" w:hAnsi="Century Gothic"/>
                <w:b/>
              </w:rPr>
            </w:pPr>
            <w:r w:rsidRPr="00F37697">
              <w:rPr>
                <w:rFonts w:ascii="Century Gothic" w:hAnsi="Century Gothic"/>
                <w:b/>
              </w:rPr>
              <w:t>6</w:t>
            </w:r>
          </w:p>
        </w:tc>
        <w:tc>
          <w:tcPr>
            <w:tcW w:w="7832" w:type="dxa"/>
          </w:tcPr>
          <w:p w:rsidR="003916DF" w:rsidRPr="00F37697" w:rsidRDefault="003916DF" w:rsidP="003916DF">
            <w:pPr>
              <w:rPr>
                <w:rFonts w:ascii="Century Gothic" w:hAnsi="Century Gothic"/>
                <w:b/>
              </w:rPr>
            </w:pPr>
            <w:r w:rsidRPr="00F37697">
              <w:rPr>
                <w:rFonts w:ascii="Century Gothic" w:hAnsi="Century Gothic"/>
                <w:b/>
              </w:rPr>
              <w:t>Procedure regarding unidentified deposits</w:t>
            </w:r>
          </w:p>
        </w:tc>
        <w:tc>
          <w:tcPr>
            <w:tcW w:w="561" w:type="dxa"/>
          </w:tcPr>
          <w:p w:rsidR="003916DF" w:rsidRPr="00F37697" w:rsidRDefault="00150FAA" w:rsidP="00150FAA">
            <w:pPr>
              <w:jc w:val="center"/>
              <w:rPr>
                <w:rFonts w:ascii="Century Gothic" w:hAnsi="Century Gothic"/>
                <w:b/>
              </w:rPr>
            </w:pPr>
            <w:r w:rsidRPr="00F37697">
              <w:rPr>
                <w:rFonts w:ascii="Century Gothic" w:hAnsi="Century Gothic"/>
                <w:b/>
              </w:rPr>
              <w:t>4</w:t>
            </w:r>
          </w:p>
        </w:tc>
      </w:tr>
      <w:tr w:rsidR="00CB5404" w:rsidRPr="00F37697" w:rsidTr="00B755FD">
        <w:tc>
          <w:tcPr>
            <w:tcW w:w="623" w:type="dxa"/>
          </w:tcPr>
          <w:p w:rsidR="00CB5404" w:rsidRPr="00F37697" w:rsidRDefault="00CB5404" w:rsidP="00150FAA">
            <w:pPr>
              <w:jc w:val="center"/>
              <w:rPr>
                <w:rFonts w:ascii="Century Gothic" w:hAnsi="Century Gothic"/>
                <w:b/>
              </w:rPr>
            </w:pPr>
            <w:r w:rsidRPr="00F37697">
              <w:rPr>
                <w:rFonts w:ascii="Century Gothic" w:hAnsi="Century Gothic"/>
                <w:b/>
              </w:rPr>
              <w:t>7</w:t>
            </w:r>
          </w:p>
        </w:tc>
        <w:tc>
          <w:tcPr>
            <w:tcW w:w="7832" w:type="dxa"/>
          </w:tcPr>
          <w:p w:rsidR="00CB5404" w:rsidRPr="00F37697" w:rsidRDefault="00D83305" w:rsidP="003916DF">
            <w:pPr>
              <w:rPr>
                <w:rFonts w:ascii="Century Gothic" w:hAnsi="Century Gothic"/>
                <w:b/>
              </w:rPr>
            </w:pPr>
            <w:r>
              <w:rPr>
                <w:rFonts w:ascii="Century Gothic" w:hAnsi="Century Gothic"/>
                <w:b/>
              </w:rPr>
              <w:t>Implementation and r</w:t>
            </w:r>
            <w:r w:rsidR="00CB5404" w:rsidRPr="00F37697">
              <w:rPr>
                <w:rFonts w:ascii="Century Gothic" w:hAnsi="Century Gothic"/>
                <w:b/>
              </w:rPr>
              <w:t>eview</w:t>
            </w:r>
          </w:p>
        </w:tc>
        <w:tc>
          <w:tcPr>
            <w:tcW w:w="561" w:type="dxa"/>
          </w:tcPr>
          <w:p w:rsidR="00CB5404" w:rsidRPr="00F37697" w:rsidRDefault="00150FAA" w:rsidP="00150FAA">
            <w:pPr>
              <w:jc w:val="center"/>
              <w:rPr>
                <w:rFonts w:ascii="Century Gothic" w:hAnsi="Century Gothic"/>
                <w:b/>
              </w:rPr>
            </w:pPr>
            <w:r w:rsidRPr="00F37697">
              <w:rPr>
                <w:rFonts w:ascii="Century Gothic" w:hAnsi="Century Gothic"/>
                <w:b/>
              </w:rPr>
              <w:t>4</w:t>
            </w:r>
          </w:p>
        </w:tc>
      </w:tr>
    </w:tbl>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3916DF" w:rsidRDefault="003916DF" w:rsidP="003916DF">
      <w:pPr>
        <w:rPr>
          <w:rFonts w:ascii="Garamond" w:hAnsi="Garamond"/>
          <w:b/>
          <w:sz w:val="24"/>
          <w:szCs w:val="24"/>
        </w:rPr>
      </w:pPr>
    </w:p>
    <w:p w:rsidR="000B1C6E" w:rsidRDefault="000B1C6E" w:rsidP="00F37697">
      <w:pPr>
        <w:jc w:val="both"/>
        <w:rPr>
          <w:rFonts w:ascii="Garamond" w:hAnsi="Garamond"/>
          <w:b/>
          <w:sz w:val="24"/>
          <w:szCs w:val="24"/>
        </w:rPr>
      </w:pPr>
    </w:p>
    <w:p w:rsidR="003916DF" w:rsidRPr="00F37697" w:rsidRDefault="002602B4" w:rsidP="00F37697">
      <w:pPr>
        <w:jc w:val="both"/>
        <w:rPr>
          <w:rFonts w:ascii="Century Gothic" w:hAnsi="Century Gothic"/>
          <w:b/>
          <w:sz w:val="20"/>
          <w:szCs w:val="20"/>
        </w:rPr>
      </w:pPr>
      <w:r>
        <w:rPr>
          <w:rFonts w:ascii="Century Gothic" w:hAnsi="Century Gothic"/>
          <w:b/>
          <w:sz w:val="20"/>
          <w:szCs w:val="20"/>
        </w:rPr>
        <w:lastRenderedPageBreak/>
        <w:t>1. BACKGROUND</w:t>
      </w:r>
    </w:p>
    <w:p w:rsidR="003916DF" w:rsidRPr="00F37697" w:rsidRDefault="003916DF" w:rsidP="00F37697">
      <w:pPr>
        <w:jc w:val="both"/>
        <w:rPr>
          <w:rFonts w:ascii="Century Gothic" w:hAnsi="Century Gothic"/>
          <w:sz w:val="20"/>
          <w:szCs w:val="20"/>
        </w:rPr>
      </w:pPr>
      <w:r w:rsidRPr="00F37697">
        <w:rPr>
          <w:rFonts w:ascii="Century Gothic" w:hAnsi="Century Gothic"/>
          <w:sz w:val="20"/>
          <w:szCs w:val="20"/>
        </w:rPr>
        <w:t>The importance of the recognition or identification of each transaction in order to reflect the substance of each transaction and to ensure the municipality maintains a sound accounting system, is to ensure that all unallocated deposits are timely identified and allocated to the relevant debtors’ account, to ensure correctness of account balances and true reflection of the debtors’ book.</w:t>
      </w:r>
    </w:p>
    <w:p w:rsidR="003916DF" w:rsidRPr="00F37697" w:rsidRDefault="002602B4" w:rsidP="003916DF">
      <w:pPr>
        <w:jc w:val="both"/>
        <w:rPr>
          <w:rFonts w:ascii="Century Gothic" w:hAnsi="Century Gothic"/>
          <w:b/>
          <w:sz w:val="20"/>
          <w:szCs w:val="20"/>
        </w:rPr>
      </w:pPr>
      <w:r>
        <w:rPr>
          <w:rFonts w:ascii="Century Gothic" w:hAnsi="Century Gothic"/>
          <w:b/>
          <w:sz w:val="20"/>
          <w:szCs w:val="20"/>
        </w:rPr>
        <w:t>2. REVENUE MANAGEMENT</w:t>
      </w:r>
    </w:p>
    <w:p w:rsidR="003916DF" w:rsidRPr="00F37697" w:rsidRDefault="00F158B3" w:rsidP="003916DF">
      <w:pPr>
        <w:jc w:val="both"/>
        <w:rPr>
          <w:rFonts w:ascii="Century Gothic" w:hAnsi="Century Gothic"/>
          <w:sz w:val="20"/>
          <w:szCs w:val="20"/>
        </w:rPr>
      </w:pPr>
      <w:r w:rsidRPr="00F37697">
        <w:rPr>
          <w:rFonts w:ascii="Century Gothic" w:hAnsi="Century Gothic"/>
          <w:sz w:val="20"/>
          <w:szCs w:val="20"/>
        </w:rPr>
        <w:t>Revenue management involves all procedures necessary to ensure that income of the municipality is properly planned and fully accounted for, and that cash once received is safeguarded and banked promptly.</w:t>
      </w:r>
    </w:p>
    <w:p w:rsidR="00F158B3" w:rsidRPr="00F37697" w:rsidRDefault="00C93A26" w:rsidP="003916DF">
      <w:pPr>
        <w:jc w:val="both"/>
        <w:rPr>
          <w:rFonts w:ascii="Century Gothic" w:hAnsi="Century Gothic"/>
          <w:sz w:val="20"/>
          <w:szCs w:val="20"/>
        </w:rPr>
      </w:pPr>
      <w:r>
        <w:rPr>
          <w:rFonts w:ascii="Century Gothic" w:hAnsi="Century Gothic"/>
          <w:sz w:val="20"/>
          <w:szCs w:val="20"/>
        </w:rPr>
        <w:t>In terms of section 64</w:t>
      </w:r>
      <w:r w:rsidR="00F158B3" w:rsidRPr="00F37697">
        <w:rPr>
          <w:rFonts w:ascii="Century Gothic" w:hAnsi="Century Gothic"/>
          <w:sz w:val="20"/>
          <w:szCs w:val="20"/>
        </w:rPr>
        <w:t xml:space="preserve"> (2)</w:t>
      </w:r>
      <w:r>
        <w:rPr>
          <w:rFonts w:ascii="Century Gothic" w:hAnsi="Century Gothic"/>
          <w:sz w:val="20"/>
          <w:szCs w:val="20"/>
        </w:rPr>
        <w:t>(e)</w:t>
      </w:r>
      <w:r w:rsidR="00F158B3" w:rsidRPr="00F37697">
        <w:rPr>
          <w:rFonts w:ascii="Century Gothic" w:hAnsi="Century Gothic"/>
          <w:sz w:val="20"/>
          <w:szCs w:val="20"/>
        </w:rPr>
        <w:t xml:space="preserve"> of the Local Government: Municipal Finance Management Act 56 of 2003, the municipality has and maintains a management, accounting and information system which: -</w:t>
      </w:r>
    </w:p>
    <w:p w:rsidR="00F158B3" w:rsidRPr="00F37697" w:rsidRDefault="00F158B3" w:rsidP="00F158B3">
      <w:pPr>
        <w:jc w:val="both"/>
        <w:rPr>
          <w:rFonts w:ascii="Century Gothic" w:hAnsi="Century Gothic"/>
          <w:sz w:val="20"/>
          <w:szCs w:val="20"/>
        </w:rPr>
      </w:pPr>
      <w:r w:rsidRPr="00F37697">
        <w:rPr>
          <w:rFonts w:ascii="Century Gothic" w:hAnsi="Century Gothic"/>
          <w:sz w:val="20"/>
          <w:szCs w:val="20"/>
        </w:rPr>
        <w:t>(i) recognises revenue when it is earned;</w:t>
      </w:r>
    </w:p>
    <w:p w:rsidR="00F158B3" w:rsidRPr="00F37697" w:rsidRDefault="00F158B3" w:rsidP="00F158B3">
      <w:pPr>
        <w:jc w:val="both"/>
        <w:rPr>
          <w:rFonts w:ascii="Century Gothic" w:hAnsi="Century Gothic"/>
          <w:sz w:val="20"/>
          <w:szCs w:val="20"/>
        </w:rPr>
      </w:pPr>
      <w:r w:rsidRPr="00F37697">
        <w:rPr>
          <w:rFonts w:ascii="Century Gothic" w:hAnsi="Century Gothic"/>
          <w:sz w:val="20"/>
          <w:szCs w:val="20"/>
        </w:rPr>
        <w:t xml:space="preserve">(ii) accounts for debtors; and </w:t>
      </w:r>
    </w:p>
    <w:p w:rsidR="00F158B3" w:rsidRPr="00F37697" w:rsidRDefault="00F158B3" w:rsidP="00F158B3">
      <w:pPr>
        <w:jc w:val="both"/>
        <w:rPr>
          <w:rFonts w:ascii="Century Gothic" w:hAnsi="Century Gothic"/>
          <w:sz w:val="20"/>
          <w:szCs w:val="20"/>
        </w:rPr>
      </w:pPr>
      <w:r w:rsidRPr="00F37697">
        <w:rPr>
          <w:rFonts w:ascii="Century Gothic" w:hAnsi="Century Gothic"/>
          <w:sz w:val="20"/>
          <w:szCs w:val="20"/>
        </w:rPr>
        <w:t>(iii) accounts for receipts of revenue</w:t>
      </w:r>
    </w:p>
    <w:p w:rsidR="00F158B3" w:rsidRPr="00F37697" w:rsidRDefault="002602B4" w:rsidP="00F158B3">
      <w:pPr>
        <w:jc w:val="both"/>
        <w:rPr>
          <w:rFonts w:ascii="Century Gothic" w:hAnsi="Century Gothic"/>
          <w:b/>
          <w:sz w:val="20"/>
          <w:szCs w:val="20"/>
        </w:rPr>
      </w:pPr>
      <w:r>
        <w:rPr>
          <w:rFonts w:ascii="Century Gothic" w:hAnsi="Century Gothic"/>
          <w:b/>
          <w:sz w:val="20"/>
          <w:szCs w:val="20"/>
        </w:rPr>
        <w:t>3. MUNICIPAL BANK ACCOUNT, DIRECT TRANSFERS AND ELECTRONIC BANKING</w:t>
      </w:r>
    </w:p>
    <w:p w:rsidR="00F158B3" w:rsidRPr="00F37697" w:rsidRDefault="00F158B3" w:rsidP="00F158B3">
      <w:pPr>
        <w:jc w:val="both"/>
        <w:rPr>
          <w:rFonts w:ascii="Century Gothic" w:hAnsi="Century Gothic"/>
          <w:sz w:val="20"/>
          <w:szCs w:val="20"/>
        </w:rPr>
      </w:pPr>
      <w:r w:rsidRPr="00F37697">
        <w:rPr>
          <w:rFonts w:ascii="Century Gothic" w:hAnsi="Century Gothic"/>
          <w:sz w:val="20"/>
          <w:szCs w:val="20"/>
        </w:rPr>
        <w:t>Identify all direct credits on the bank statement, such as direct deposits by rate-payers, consumers and levy payers, subsidies and grants paid by National and Provincial Governments, interest on investments and miscellaneous credits.</w:t>
      </w:r>
    </w:p>
    <w:p w:rsidR="00F158B3" w:rsidRPr="00F37697" w:rsidRDefault="00F158B3" w:rsidP="00F158B3">
      <w:pPr>
        <w:pStyle w:val="ListParagraph"/>
        <w:numPr>
          <w:ilvl w:val="0"/>
          <w:numId w:val="26"/>
        </w:numPr>
        <w:jc w:val="both"/>
        <w:rPr>
          <w:rFonts w:ascii="Century Gothic" w:hAnsi="Century Gothic"/>
          <w:sz w:val="20"/>
          <w:szCs w:val="20"/>
        </w:rPr>
      </w:pPr>
      <w:r w:rsidRPr="00F37697">
        <w:rPr>
          <w:rFonts w:ascii="Century Gothic" w:hAnsi="Century Gothic"/>
          <w:sz w:val="20"/>
          <w:szCs w:val="20"/>
        </w:rPr>
        <w:t>Process all these credits by capturing to the respective votes on the financial system</w:t>
      </w:r>
    </w:p>
    <w:p w:rsidR="00085F90" w:rsidRPr="00F37697" w:rsidRDefault="00085F90" w:rsidP="00F158B3">
      <w:pPr>
        <w:pStyle w:val="ListParagraph"/>
        <w:numPr>
          <w:ilvl w:val="0"/>
          <w:numId w:val="26"/>
        </w:numPr>
        <w:jc w:val="both"/>
        <w:rPr>
          <w:rFonts w:ascii="Century Gothic" w:hAnsi="Century Gothic"/>
          <w:sz w:val="20"/>
          <w:szCs w:val="20"/>
        </w:rPr>
      </w:pPr>
      <w:r w:rsidRPr="00F37697">
        <w:rPr>
          <w:rFonts w:ascii="Century Gothic" w:hAnsi="Century Gothic"/>
          <w:sz w:val="20"/>
          <w:szCs w:val="20"/>
        </w:rPr>
        <w:t>Identify full details of these credits timely to avoid having to account for such in the unallocated deposit account</w:t>
      </w:r>
      <w:r w:rsidR="00AF2F7D">
        <w:rPr>
          <w:rFonts w:ascii="Century Gothic" w:hAnsi="Century Gothic"/>
          <w:sz w:val="20"/>
          <w:szCs w:val="20"/>
        </w:rPr>
        <w:t>/vote</w:t>
      </w:r>
    </w:p>
    <w:p w:rsidR="00085F90" w:rsidRPr="00F37697" w:rsidRDefault="00085F90" w:rsidP="00F158B3">
      <w:pPr>
        <w:pStyle w:val="ListParagraph"/>
        <w:numPr>
          <w:ilvl w:val="0"/>
          <w:numId w:val="26"/>
        </w:numPr>
        <w:jc w:val="both"/>
        <w:rPr>
          <w:rFonts w:ascii="Century Gothic" w:hAnsi="Century Gothic"/>
          <w:sz w:val="20"/>
          <w:szCs w:val="20"/>
        </w:rPr>
      </w:pPr>
      <w:r w:rsidRPr="00F37697">
        <w:rPr>
          <w:rFonts w:ascii="Century Gothic" w:hAnsi="Century Gothic"/>
          <w:sz w:val="20"/>
          <w:szCs w:val="20"/>
        </w:rPr>
        <w:t xml:space="preserve">Record all unidentified credits (receipts) in a suitable register to facilitate future claims against the amounts and follow-up, and </w:t>
      </w:r>
    </w:p>
    <w:p w:rsidR="00742091" w:rsidRPr="00F37697" w:rsidRDefault="00085F90" w:rsidP="00F158B3">
      <w:pPr>
        <w:pStyle w:val="ListParagraph"/>
        <w:numPr>
          <w:ilvl w:val="0"/>
          <w:numId w:val="26"/>
        </w:numPr>
        <w:jc w:val="both"/>
        <w:rPr>
          <w:rFonts w:ascii="Century Gothic" w:hAnsi="Century Gothic"/>
          <w:sz w:val="20"/>
          <w:szCs w:val="20"/>
        </w:rPr>
      </w:pPr>
      <w:r w:rsidRPr="00F37697">
        <w:rPr>
          <w:rFonts w:ascii="Century Gothic" w:hAnsi="Century Gothic"/>
          <w:sz w:val="20"/>
          <w:szCs w:val="20"/>
        </w:rPr>
        <w:t xml:space="preserve">Balance the unidentified </w:t>
      </w:r>
      <w:r w:rsidR="00742091" w:rsidRPr="00F37697">
        <w:rPr>
          <w:rFonts w:ascii="Century Gothic" w:hAnsi="Century Gothic"/>
          <w:sz w:val="20"/>
          <w:szCs w:val="20"/>
        </w:rPr>
        <w:t xml:space="preserve">receipt </w:t>
      </w:r>
      <w:r w:rsidRPr="00F37697">
        <w:rPr>
          <w:rFonts w:ascii="Century Gothic" w:hAnsi="Century Gothic"/>
          <w:sz w:val="20"/>
          <w:szCs w:val="20"/>
        </w:rPr>
        <w:t>register</w:t>
      </w:r>
      <w:r w:rsidR="00742091" w:rsidRPr="00F37697">
        <w:rPr>
          <w:rFonts w:ascii="Century Gothic" w:hAnsi="Century Gothic"/>
          <w:sz w:val="20"/>
          <w:szCs w:val="20"/>
        </w:rPr>
        <w:t xml:space="preserve"> to the unallocated deposit account in the general ledger on a monthly basis</w:t>
      </w:r>
    </w:p>
    <w:p w:rsidR="00085F90" w:rsidRPr="00C349B2" w:rsidRDefault="007713F2" w:rsidP="00742091">
      <w:pPr>
        <w:jc w:val="both"/>
        <w:rPr>
          <w:rFonts w:ascii="Century Gothic" w:hAnsi="Century Gothic"/>
          <w:b/>
          <w:sz w:val="20"/>
          <w:szCs w:val="20"/>
        </w:rPr>
      </w:pPr>
      <w:r w:rsidRPr="00C349B2">
        <w:rPr>
          <w:rFonts w:ascii="Century Gothic" w:hAnsi="Century Gothic"/>
          <w:b/>
          <w:sz w:val="20"/>
          <w:szCs w:val="20"/>
        </w:rPr>
        <w:t xml:space="preserve">4. </w:t>
      </w:r>
      <w:r w:rsidR="002602B4">
        <w:rPr>
          <w:rFonts w:ascii="Century Gothic" w:hAnsi="Century Gothic"/>
          <w:b/>
          <w:sz w:val="20"/>
          <w:szCs w:val="20"/>
        </w:rPr>
        <w:t>DIRECT BANK PAYMENTS</w:t>
      </w:r>
      <w:r w:rsidR="00085F90" w:rsidRPr="00C349B2">
        <w:rPr>
          <w:rFonts w:ascii="Century Gothic" w:hAnsi="Century Gothic"/>
          <w:b/>
          <w:sz w:val="20"/>
          <w:szCs w:val="20"/>
        </w:rPr>
        <w:t xml:space="preserve"> </w:t>
      </w:r>
    </w:p>
    <w:p w:rsidR="007939A7" w:rsidRPr="00C349B2" w:rsidRDefault="00742091" w:rsidP="00742091">
      <w:pPr>
        <w:jc w:val="both"/>
        <w:rPr>
          <w:rFonts w:ascii="Century Gothic" w:hAnsi="Century Gothic"/>
          <w:sz w:val="20"/>
          <w:szCs w:val="20"/>
        </w:rPr>
      </w:pPr>
      <w:r w:rsidRPr="00C349B2">
        <w:rPr>
          <w:rFonts w:ascii="Century Gothic" w:hAnsi="Century Gothic"/>
          <w:sz w:val="20"/>
          <w:szCs w:val="20"/>
        </w:rPr>
        <w:t xml:space="preserve">Direct payments such as direct deposit / bank transfers to the municipality’s bank account received without proper reference and the origin of payment cannot be allocated. Therefore, debtors must use their </w:t>
      </w:r>
      <w:r w:rsidR="007939A7" w:rsidRPr="00C349B2">
        <w:rPr>
          <w:rFonts w:ascii="Century Gothic" w:hAnsi="Century Gothic"/>
          <w:sz w:val="20"/>
          <w:szCs w:val="20"/>
        </w:rPr>
        <w:t>account numbers as reference when making transfers for auto allocation.</w:t>
      </w:r>
    </w:p>
    <w:p w:rsidR="007939A7" w:rsidRPr="00C349B2" w:rsidRDefault="007939A7" w:rsidP="00742091">
      <w:pPr>
        <w:jc w:val="both"/>
        <w:rPr>
          <w:rFonts w:ascii="Century Gothic" w:hAnsi="Century Gothic"/>
          <w:sz w:val="20"/>
          <w:szCs w:val="20"/>
        </w:rPr>
      </w:pPr>
      <w:r w:rsidRPr="00C349B2">
        <w:rPr>
          <w:rFonts w:ascii="Century Gothic" w:hAnsi="Century Gothic"/>
          <w:sz w:val="20"/>
          <w:szCs w:val="20"/>
        </w:rPr>
        <w:t>Where a direct payment is made for various debtors’ accounts, a remittance must be forwarded / faxed or emailed to the Budget and Treasury department so that immediate split can be done to the various debtors’ accounts.</w:t>
      </w:r>
    </w:p>
    <w:p w:rsidR="007939A7" w:rsidRDefault="007939A7" w:rsidP="00742091">
      <w:pPr>
        <w:jc w:val="both"/>
        <w:rPr>
          <w:rFonts w:ascii="Garamond" w:hAnsi="Garamond"/>
          <w:sz w:val="24"/>
          <w:szCs w:val="24"/>
        </w:rPr>
      </w:pPr>
    </w:p>
    <w:p w:rsidR="0010262F" w:rsidRDefault="0010262F" w:rsidP="00742091">
      <w:pPr>
        <w:jc w:val="both"/>
        <w:rPr>
          <w:rFonts w:ascii="Garamond" w:hAnsi="Garamond"/>
          <w:sz w:val="24"/>
          <w:szCs w:val="24"/>
        </w:rPr>
      </w:pPr>
      <w:bookmarkStart w:id="0" w:name="_GoBack"/>
      <w:bookmarkEnd w:id="0"/>
    </w:p>
    <w:p w:rsidR="007939A7" w:rsidRPr="00CE6984" w:rsidRDefault="007713F2" w:rsidP="00742091">
      <w:pPr>
        <w:jc w:val="both"/>
        <w:rPr>
          <w:rFonts w:ascii="Century Gothic" w:hAnsi="Century Gothic"/>
          <w:b/>
          <w:sz w:val="20"/>
          <w:szCs w:val="20"/>
        </w:rPr>
      </w:pPr>
      <w:r w:rsidRPr="00CE6984">
        <w:rPr>
          <w:rFonts w:ascii="Century Gothic" w:hAnsi="Century Gothic"/>
          <w:b/>
          <w:sz w:val="20"/>
          <w:szCs w:val="20"/>
        </w:rPr>
        <w:lastRenderedPageBreak/>
        <w:t xml:space="preserve">5. </w:t>
      </w:r>
      <w:r w:rsidR="002602B4">
        <w:rPr>
          <w:rFonts w:ascii="Century Gothic" w:hAnsi="Century Gothic"/>
          <w:b/>
          <w:sz w:val="20"/>
          <w:szCs w:val="20"/>
        </w:rPr>
        <w:t>DEPOSIT AND CLEARING OF ACCOUNTS</w:t>
      </w:r>
    </w:p>
    <w:p w:rsidR="007939A7" w:rsidRPr="00CE6984" w:rsidRDefault="007939A7" w:rsidP="00742091">
      <w:pPr>
        <w:jc w:val="both"/>
        <w:rPr>
          <w:rFonts w:ascii="Century Gothic" w:hAnsi="Century Gothic"/>
          <w:sz w:val="20"/>
          <w:szCs w:val="20"/>
        </w:rPr>
      </w:pPr>
      <w:r w:rsidRPr="00CE6984">
        <w:rPr>
          <w:rFonts w:ascii="Century Gothic" w:hAnsi="Century Gothic"/>
          <w:sz w:val="20"/>
          <w:szCs w:val="20"/>
        </w:rPr>
        <w:t xml:space="preserve">All deposits must be correctly allocated to the relevant debtors account and furthermore amounts must be correctly allocated to the correct services paid for. The payee cannot be identified when there is no reference against the deposit when it appears on the bank statement. These deposits have to be identified and captured into the receipting system to ensure that debtors accounts are credited. Direct deposits / bank transfers to the municipality’s bank account(s) have to be accompanied by identification (reference) of the party making the deposit / transfer. </w:t>
      </w:r>
    </w:p>
    <w:p w:rsidR="00E54FD6" w:rsidRPr="00CE6984" w:rsidRDefault="007713F2" w:rsidP="00742091">
      <w:pPr>
        <w:jc w:val="both"/>
        <w:rPr>
          <w:rFonts w:ascii="Century Gothic" w:hAnsi="Century Gothic"/>
          <w:b/>
          <w:sz w:val="20"/>
          <w:szCs w:val="20"/>
        </w:rPr>
      </w:pPr>
      <w:r w:rsidRPr="00CE6984">
        <w:rPr>
          <w:rFonts w:ascii="Century Gothic" w:hAnsi="Century Gothic"/>
          <w:b/>
          <w:sz w:val="20"/>
          <w:szCs w:val="20"/>
        </w:rPr>
        <w:t xml:space="preserve">6. </w:t>
      </w:r>
      <w:r w:rsidR="002602B4">
        <w:rPr>
          <w:rFonts w:ascii="Century Gothic" w:hAnsi="Century Gothic"/>
          <w:b/>
          <w:sz w:val="20"/>
          <w:szCs w:val="20"/>
        </w:rPr>
        <w:t>PROCEDURE REGARDING UNIDENTIFIED DEPOSITS</w:t>
      </w:r>
    </w:p>
    <w:p w:rsidR="00E54FD6" w:rsidRPr="00CE6984" w:rsidRDefault="00E54FD6" w:rsidP="00742091">
      <w:pPr>
        <w:jc w:val="both"/>
        <w:rPr>
          <w:rFonts w:ascii="Century Gothic" w:hAnsi="Century Gothic"/>
          <w:sz w:val="20"/>
          <w:szCs w:val="20"/>
        </w:rPr>
      </w:pPr>
      <w:r w:rsidRPr="00CE6984">
        <w:rPr>
          <w:rFonts w:ascii="Century Gothic" w:hAnsi="Century Gothic"/>
          <w:sz w:val="20"/>
          <w:szCs w:val="20"/>
        </w:rPr>
        <w:t xml:space="preserve">Any </w:t>
      </w:r>
      <w:r w:rsidR="00AE6AB3">
        <w:rPr>
          <w:rFonts w:ascii="Century Gothic" w:hAnsi="Century Gothic"/>
          <w:sz w:val="20"/>
          <w:szCs w:val="20"/>
        </w:rPr>
        <w:t xml:space="preserve">unidentified </w:t>
      </w:r>
      <w:r w:rsidRPr="00CE6984">
        <w:rPr>
          <w:rFonts w:ascii="Century Gothic" w:hAnsi="Century Gothic"/>
          <w:sz w:val="20"/>
          <w:szCs w:val="20"/>
        </w:rPr>
        <w:t xml:space="preserve">deposit(s) will temporarily be posted to the unknown deposit vote. These amounts must be traced to </w:t>
      </w:r>
      <w:r w:rsidR="003027C6">
        <w:rPr>
          <w:rFonts w:ascii="Century Gothic" w:hAnsi="Century Gothic"/>
          <w:sz w:val="20"/>
          <w:szCs w:val="20"/>
        </w:rPr>
        <w:t xml:space="preserve">the </w:t>
      </w:r>
      <w:r w:rsidRPr="00CE6984">
        <w:rPr>
          <w:rFonts w:ascii="Century Gothic" w:hAnsi="Century Gothic"/>
          <w:sz w:val="20"/>
          <w:szCs w:val="20"/>
        </w:rPr>
        <w:t>deposit(s) or remittance(s) and must be followed up by contacting the payee or bank where applicable, to verify for what or from whom the payment received is from.</w:t>
      </w:r>
    </w:p>
    <w:p w:rsidR="00E54FD6" w:rsidRPr="00CE6984" w:rsidRDefault="00E54FD6" w:rsidP="00742091">
      <w:pPr>
        <w:jc w:val="both"/>
        <w:rPr>
          <w:rFonts w:ascii="Century Gothic" w:hAnsi="Century Gothic"/>
          <w:sz w:val="20"/>
          <w:szCs w:val="20"/>
        </w:rPr>
      </w:pPr>
      <w:r w:rsidRPr="00CE6984">
        <w:rPr>
          <w:rFonts w:ascii="Century Gothic" w:hAnsi="Century Gothic"/>
          <w:sz w:val="20"/>
          <w:szCs w:val="20"/>
        </w:rPr>
        <w:t xml:space="preserve">Unallocated deposit(s) in the unallocated deposit account or vote should be traced as to its origin, the details of the depositor and be journalised to the correct account. </w:t>
      </w:r>
      <w:r w:rsidR="00D3244F" w:rsidRPr="00CE6984">
        <w:rPr>
          <w:rFonts w:ascii="Century Gothic" w:hAnsi="Century Gothic"/>
          <w:sz w:val="20"/>
          <w:szCs w:val="20"/>
        </w:rPr>
        <w:t>Debtors or rate-payers should be notified and requested to include account numbers as references when paying either by deposit slips or internet banking to ensure that unidentified deposit(s) reduces.</w:t>
      </w:r>
    </w:p>
    <w:p w:rsidR="00CF1F16" w:rsidRPr="00CE6984" w:rsidRDefault="00CF1F16" w:rsidP="00742091">
      <w:pPr>
        <w:jc w:val="both"/>
        <w:rPr>
          <w:rFonts w:ascii="Century Gothic" w:hAnsi="Century Gothic"/>
          <w:sz w:val="20"/>
          <w:szCs w:val="20"/>
        </w:rPr>
      </w:pPr>
      <w:r w:rsidRPr="00CE6984">
        <w:rPr>
          <w:rFonts w:ascii="Century Gothic" w:hAnsi="Century Gothic"/>
          <w:sz w:val="20"/>
          <w:szCs w:val="20"/>
        </w:rPr>
        <w:t xml:space="preserve">When deposit(s) are received without adequate supporting documentation (remittance) or explanation, the amounts are posted to the unallocated/unknown deposit account or vote and it is the responsibility of the employee in charge of such to investigate and clear each </w:t>
      </w:r>
      <w:r w:rsidR="00FA212A" w:rsidRPr="00CE6984">
        <w:rPr>
          <w:rFonts w:ascii="Century Gothic" w:hAnsi="Century Gothic"/>
          <w:sz w:val="20"/>
          <w:szCs w:val="20"/>
        </w:rPr>
        <w:t>item and the following procedures are followed:</w:t>
      </w:r>
    </w:p>
    <w:p w:rsidR="00FA212A" w:rsidRPr="00CE6984" w:rsidRDefault="00FA212A" w:rsidP="00FA212A">
      <w:pPr>
        <w:pStyle w:val="ListParagraph"/>
        <w:numPr>
          <w:ilvl w:val="0"/>
          <w:numId w:val="27"/>
        </w:numPr>
        <w:jc w:val="both"/>
        <w:rPr>
          <w:rFonts w:ascii="Century Gothic" w:hAnsi="Century Gothic"/>
          <w:sz w:val="20"/>
          <w:szCs w:val="20"/>
        </w:rPr>
      </w:pPr>
      <w:r w:rsidRPr="00CE6984">
        <w:rPr>
          <w:rFonts w:ascii="Century Gothic" w:hAnsi="Century Gothic"/>
          <w:sz w:val="20"/>
          <w:szCs w:val="20"/>
        </w:rPr>
        <w:t>All unidentified credits (receipts) should be recorded in a suitable register to facilitate future claims against the amount and followed up; and</w:t>
      </w:r>
    </w:p>
    <w:p w:rsidR="00FA212A" w:rsidRPr="00CE6984" w:rsidRDefault="00FA212A" w:rsidP="00FA212A">
      <w:pPr>
        <w:pStyle w:val="ListParagraph"/>
        <w:numPr>
          <w:ilvl w:val="0"/>
          <w:numId w:val="27"/>
        </w:numPr>
        <w:jc w:val="both"/>
        <w:rPr>
          <w:rFonts w:ascii="Century Gothic" w:hAnsi="Century Gothic"/>
          <w:sz w:val="20"/>
          <w:szCs w:val="20"/>
        </w:rPr>
      </w:pPr>
      <w:r w:rsidRPr="00CE6984">
        <w:rPr>
          <w:rFonts w:ascii="Century Gothic" w:hAnsi="Century Gothic"/>
          <w:sz w:val="20"/>
          <w:szCs w:val="20"/>
        </w:rPr>
        <w:t>Identify full details of these credits timely to avoid having to account for these credits in the unknown / unallocated deposits</w:t>
      </w:r>
    </w:p>
    <w:p w:rsidR="00FA212A" w:rsidRPr="00CE6984" w:rsidRDefault="00FA212A" w:rsidP="00FA212A">
      <w:pPr>
        <w:pStyle w:val="ListParagraph"/>
        <w:numPr>
          <w:ilvl w:val="0"/>
          <w:numId w:val="27"/>
        </w:numPr>
        <w:jc w:val="both"/>
        <w:rPr>
          <w:rFonts w:ascii="Century Gothic" w:hAnsi="Century Gothic"/>
          <w:sz w:val="20"/>
          <w:szCs w:val="20"/>
        </w:rPr>
      </w:pPr>
      <w:r w:rsidRPr="00CE6984">
        <w:rPr>
          <w:rFonts w:ascii="Century Gothic" w:hAnsi="Century Gothic"/>
          <w:sz w:val="20"/>
          <w:szCs w:val="20"/>
        </w:rPr>
        <w:t xml:space="preserve">Balance the unidentified / unknown deposit(s) register to the </w:t>
      </w:r>
      <w:r w:rsidR="00CF7757" w:rsidRPr="00CE6984">
        <w:rPr>
          <w:rFonts w:ascii="Century Gothic" w:hAnsi="Century Gothic"/>
          <w:sz w:val="20"/>
          <w:szCs w:val="20"/>
        </w:rPr>
        <w:t>unallocated deposit account or vote in the general ledger on a monthly basis</w:t>
      </w:r>
    </w:p>
    <w:p w:rsidR="00CF7757" w:rsidRPr="00CE6984" w:rsidRDefault="00CF7757" w:rsidP="00CF7757">
      <w:pPr>
        <w:jc w:val="both"/>
        <w:rPr>
          <w:rFonts w:ascii="Century Gothic" w:hAnsi="Century Gothic"/>
          <w:sz w:val="20"/>
          <w:szCs w:val="20"/>
        </w:rPr>
      </w:pPr>
      <w:r w:rsidRPr="00CE6984">
        <w:rPr>
          <w:rFonts w:ascii="Century Gothic" w:hAnsi="Century Gothic"/>
          <w:sz w:val="20"/>
          <w:szCs w:val="20"/>
        </w:rPr>
        <w:t>These accounts should be monitored and reconciled on a monthly basis. It should be manageable to reconcile and keep these accounts up to date each month, once long outstanding items have been cleared and correctly allocated.</w:t>
      </w:r>
    </w:p>
    <w:p w:rsidR="00D05C32" w:rsidRPr="00CE6984" w:rsidRDefault="00D05C32" w:rsidP="00CF7757">
      <w:pPr>
        <w:jc w:val="both"/>
        <w:rPr>
          <w:rFonts w:ascii="Century Gothic" w:hAnsi="Century Gothic"/>
          <w:sz w:val="20"/>
          <w:szCs w:val="20"/>
        </w:rPr>
      </w:pPr>
      <w:r w:rsidRPr="00CE6984">
        <w:rPr>
          <w:rFonts w:ascii="Century Gothic" w:hAnsi="Century Gothic"/>
          <w:sz w:val="20"/>
          <w:szCs w:val="20"/>
        </w:rPr>
        <w:t>After a period of 6 (six) months when no claims are made or the origin of the payment is still unknown / unidentified, the unknown deposit(s) as posted in the unknown / unallocated deposit account or vote will be written-off.</w:t>
      </w:r>
    </w:p>
    <w:p w:rsidR="00D05C32" w:rsidRPr="00CE6984" w:rsidRDefault="007713F2" w:rsidP="00CF7757">
      <w:pPr>
        <w:jc w:val="both"/>
        <w:rPr>
          <w:rFonts w:ascii="Century Gothic" w:hAnsi="Century Gothic"/>
          <w:b/>
          <w:sz w:val="20"/>
          <w:szCs w:val="20"/>
        </w:rPr>
      </w:pPr>
      <w:r w:rsidRPr="00CE6984">
        <w:rPr>
          <w:rFonts w:ascii="Century Gothic" w:hAnsi="Century Gothic"/>
          <w:b/>
          <w:sz w:val="20"/>
          <w:szCs w:val="20"/>
        </w:rPr>
        <w:t xml:space="preserve">7. </w:t>
      </w:r>
      <w:r w:rsidR="002602B4">
        <w:rPr>
          <w:rFonts w:ascii="Century Gothic" w:hAnsi="Century Gothic"/>
          <w:b/>
          <w:sz w:val="20"/>
          <w:szCs w:val="20"/>
        </w:rPr>
        <w:t>IMPLEMENTATION AND REVIEW</w:t>
      </w:r>
    </w:p>
    <w:p w:rsidR="00066C5B" w:rsidRPr="00CE6984" w:rsidRDefault="00066C5B" w:rsidP="00CF7757">
      <w:pPr>
        <w:jc w:val="both"/>
        <w:rPr>
          <w:rFonts w:ascii="Century Gothic" w:hAnsi="Century Gothic"/>
          <w:sz w:val="20"/>
          <w:szCs w:val="20"/>
        </w:rPr>
      </w:pPr>
      <w:r w:rsidRPr="00CE6984">
        <w:rPr>
          <w:rFonts w:ascii="Century Gothic" w:hAnsi="Century Gothic"/>
          <w:sz w:val="20"/>
          <w:szCs w:val="20"/>
        </w:rPr>
        <w:t xml:space="preserve">The policy </w:t>
      </w:r>
      <w:r w:rsidR="002602B4">
        <w:rPr>
          <w:rFonts w:ascii="Century Gothic" w:hAnsi="Century Gothic"/>
          <w:sz w:val="20"/>
          <w:szCs w:val="20"/>
        </w:rPr>
        <w:t xml:space="preserve">to be implemented with effect from 01 July 2019 and </w:t>
      </w:r>
      <w:r w:rsidRPr="00CE6984">
        <w:rPr>
          <w:rFonts w:ascii="Century Gothic" w:hAnsi="Century Gothic"/>
          <w:sz w:val="20"/>
          <w:szCs w:val="20"/>
        </w:rPr>
        <w:t xml:space="preserve">shall be reviewed annually </w:t>
      </w:r>
    </w:p>
    <w:p w:rsidR="00D05C32" w:rsidRPr="00CF7757" w:rsidRDefault="00D05C32" w:rsidP="00CF7757">
      <w:pPr>
        <w:jc w:val="both"/>
        <w:rPr>
          <w:rFonts w:ascii="Garamond" w:hAnsi="Garamond"/>
          <w:sz w:val="24"/>
          <w:szCs w:val="24"/>
        </w:rPr>
      </w:pPr>
    </w:p>
    <w:p w:rsidR="00F158B3" w:rsidRPr="00F158B3" w:rsidRDefault="00F158B3" w:rsidP="00F158B3">
      <w:pPr>
        <w:jc w:val="both"/>
        <w:rPr>
          <w:rFonts w:ascii="Garamond" w:hAnsi="Garamond"/>
          <w:sz w:val="24"/>
          <w:szCs w:val="24"/>
        </w:rPr>
      </w:pPr>
    </w:p>
    <w:sectPr w:rsidR="00F158B3" w:rsidRPr="00F158B3" w:rsidSect="00B41426">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DC8" w:rsidRDefault="002C2DC8" w:rsidP="00404EE3">
      <w:pPr>
        <w:spacing w:after="0" w:line="240" w:lineRule="auto"/>
      </w:pPr>
      <w:r>
        <w:separator/>
      </w:r>
    </w:p>
  </w:endnote>
  <w:endnote w:type="continuationSeparator" w:id="0">
    <w:p w:rsidR="002C2DC8" w:rsidRDefault="002C2DC8" w:rsidP="0040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131" w:rsidRDefault="00D5613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816789"/>
      <w:docPartObj>
        <w:docPartGallery w:val="Page Numbers (Bottom of Page)"/>
        <w:docPartUnique/>
      </w:docPartObj>
    </w:sdtPr>
    <w:sdtEndPr/>
    <w:sdtContent>
      <w:p w:rsidR="00166F7E" w:rsidRDefault="00166F7E">
        <w:pPr>
          <w:pStyle w:val="Footer"/>
          <w:jc w:val="right"/>
        </w:pPr>
        <w:r>
          <w:t xml:space="preserve">Page | </w:t>
        </w:r>
        <w:r>
          <w:fldChar w:fldCharType="begin"/>
        </w:r>
        <w:r>
          <w:instrText xml:space="preserve"> PAGE   \* MERGEFORMAT </w:instrText>
        </w:r>
        <w:r>
          <w:fldChar w:fldCharType="separate"/>
        </w:r>
        <w:r w:rsidR="0010262F">
          <w:rPr>
            <w:noProof/>
          </w:rPr>
          <w:t>2</w:t>
        </w:r>
        <w:r>
          <w:rPr>
            <w:noProof/>
          </w:rPr>
          <w:fldChar w:fldCharType="end"/>
        </w:r>
        <w:r>
          <w:t xml:space="preserve"> </w:t>
        </w:r>
      </w:p>
    </w:sdtContent>
  </w:sdt>
  <w:p w:rsidR="00D56131" w:rsidRDefault="00D5613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131" w:rsidRDefault="00D561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DC8" w:rsidRDefault="002C2DC8" w:rsidP="00404EE3">
      <w:pPr>
        <w:spacing w:after="0" w:line="240" w:lineRule="auto"/>
      </w:pPr>
      <w:r>
        <w:separator/>
      </w:r>
    </w:p>
  </w:footnote>
  <w:footnote w:type="continuationSeparator" w:id="0">
    <w:p w:rsidR="002C2DC8" w:rsidRDefault="002C2DC8" w:rsidP="00404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131" w:rsidRDefault="00D5613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131" w:rsidRDefault="00D56131" w:rsidP="00404EE3">
    <w:pPr>
      <w:spacing w:after="0" w:line="240" w:lineRule="auto"/>
      <w:rPr>
        <w:rFonts w:ascii="Arial" w:eastAsia="Times New Roman" w:hAnsi="Arial" w:cs="Arial"/>
        <w:b/>
        <w:bCs/>
        <w:caps/>
        <w:color w:val="3DB2E1"/>
        <w:sz w:val="27"/>
        <w:szCs w:val="27"/>
      </w:rPr>
    </w:pPr>
  </w:p>
  <w:p w:rsidR="00D56131" w:rsidRPr="00404EE3" w:rsidRDefault="00D56131" w:rsidP="00404EE3">
    <w:pPr>
      <w:spacing w:after="0" w:line="240" w:lineRule="auto"/>
      <w:rPr>
        <w:rFonts w:ascii="Arial" w:eastAsia="Times New Roman" w:hAnsi="Arial" w:cs="Arial"/>
        <w:b/>
        <w:bCs/>
        <w:color w:val="000000"/>
        <w:sz w:val="18"/>
        <w:szCs w:val="18"/>
      </w:rPr>
    </w:pPr>
  </w:p>
  <w:p w:rsidR="00D56131" w:rsidRDefault="00D5613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131" w:rsidRDefault="00D5613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501E"/>
    <w:multiLevelType w:val="hybridMultilevel"/>
    <w:tmpl w:val="A30EE85C"/>
    <w:lvl w:ilvl="0" w:tplc="04090001">
      <w:start w:val="1"/>
      <w:numFmt w:val="bullet"/>
      <w:lvlText w:val=""/>
      <w:lvlJc w:val="left"/>
      <w:pPr>
        <w:tabs>
          <w:tab w:val="num" w:pos="634"/>
        </w:tabs>
        <w:ind w:left="634" w:hanging="360"/>
      </w:pPr>
      <w:rPr>
        <w:rFonts w:ascii="Symbol" w:hAnsi="Symbol" w:cs="Symbol" w:hint="default"/>
      </w:rPr>
    </w:lvl>
    <w:lvl w:ilvl="1" w:tplc="04090003">
      <w:start w:val="1"/>
      <w:numFmt w:val="bullet"/>
      <w:lvlText w:val="o"/>
      <w:lvlJc w:val="left"/>
      <w:pPr>
        <w:tabs>
          <w:tab w:val="num" w:pos="1354"/>
        </w:tabs>
        <w:ind w:left="1354" w:hanging="360"/>
      </w:pPr>
      <w:rPr>
        <w:rFonts w:ascii="Courier New" w:hAnsi="Courier New" w:cs="Courier New" w:hint="default"/>
      </w:rPr>
    </w:lvl>
    <w:lvl w:ilvl="2" w:tplc="04090005">
      <w:start w:val="1"/>
      <w:numFmt w:val="bullet"/>
      <w:lvlText w:val=""/>
      <w:lvlJc w:val="left"/>
      <w:pPr>
        <w:tabs>
          <w:tab w:val="num" w:pos="2074"/>
        </w:tabs>
        <w:ind w:left="2074" w:hanging="360"/>
      </w:pPr>
      <w:rPr>
        <w:rFonts w:ascii="Wingdings" w:hAnsi="Wingdings" w:cs="Wingdings" w:hint="default"/>
      </w:rPr>
    </w:lvl>
    <w:lvl w:ilvl="3" w:tplc="04090001">
      <w:start w:val="1"/>
      <w:numFmt w:val="bullet"/>
      <w:lvlText w:val=""/>
      <w:lvlJc w:val="left"/>
      <w:pPr>
        <w:tabs>
          <w:tab w:val="num" w:pos="2794"/>
        </w:tabs>
        <w:ind w:left="2794" w:hanging="360"/>
      </w:pPr>
      <w:rPr>
        <w:rFonts w:ascii="Symbol" w:hAnsi="Symbol" w:cs="Symbol" w:hint="default"/>
      </w:rPr>
    </w:lvl>
    <w:lvl w:ilvl="4" w:tplc="04090003">
      <w:start w:val="1"/>
      <w:numFmt w:val="bullet"/>
      <w:lvlText w:val="o"/>
      <w:lvlJc w:val="left"/>
      <w:pPr>
        <w:tabs>
          <w:tab w:val="num" w:pos="3514"/>
        </w:tabs>
        <w:ind w:left="3514" w:hanging="360"/>
      </w:pPr>
      <w:rPr>
        <w:rFonts w:ascii="Courier New" w:hAnsi="Courier New" w:cs="Courier New" w:hint="default"/>
      </w:rPr>
    </w:lvl>
    <w:lvl w:ilvl="5" w:tplc="04090005">
      <w:start w:val="1"/>
      <w:numFmt w:val="bullet"/>
      <w:lvlText w:val=""/>
      <w:lvlJc w:val="left"/>
      <w:pPr>
        <w:tabs>
          <w:tab w:val="num" w:pos="4234"/>
        </w:tabs>
        <w:ind w:left="4234" w:hanging="360"/>
      </w:pPr>
      <w:rPr>
        <w:rFonts w:ascii="Wingdings" w:hAnsi="Wingdings" w:cs="Wingdings" w:hint="default"/>
      </w:rPr>
    </w:lvl>
    <w:lvl w:ilvl="6" w:tplc="04090001">
      <w:start w:val="1"/>
      <w:numFmt w:val="bullet"/>
      <w:lvlText w:val=""/>
      <w:lvlJc w:val="left"/>
      <w:pPr>
        <w:tabs>
          <w:tab w:val="num" w:pos="4954"/>
        </w:tabs>
        <w:ind w:left="4954" w:hanging="360"/>
      </w:pPr>
      <w:rPr>
        <w:rFonts w:ascii="Symbol" w:hAnsi="Symbol" w:cs="Symbol" w:hint="default"/>
      </w:rPr>
    </w:lvl>
    <w:lvl w:ilvl="7" w:tplc="04090003">
      <w:start w:val="1"/>
      <w:numFmt w:val="bullet"/>
      <w:lvlText w:val="o"/>
      <w:lvlJc w:val="left"/>
      <w:pPr>
        <w:tabs>
          <w:tab w:val="num" w:pos="5674"/>
        </w:tabs>
        <w:ind w:left="5674" w:hanging="360"/>
      </w:pPr>
      <w:rPr>
        <w:rFonts w:ascii="Courier New" w:hAnsi="Courier New" w:cs="Courier New" w:hint="default"/>
      </w:rPr>
    </w:lvl>
    <w:lvl w:ilvl="8" w:tplc="04090005">
      <w:start w:val="1"/>
      <w:numFmt w:val="bullet"/>
      <w:lvlText w:val=""/>
      <w:lvlJc w:val="left"/>
      <w:pPr>
        <w:tabs>
          <w:tab w:val="num" w:pos="6394"/>
        </w:tabs>
        <w:ind w:left="6394" w:hanging="360"/>
      </w:pPr>
      <w:rPr>
        <w:rFonts w:ascii="Wingdings" w:hAnsi="Wingdings" w:cs="Wingdings" w:hint="default"/>
      </w:rPr>
    </w:lvl>
  </w:abstractNum>
  <w:abstractNum w:abstractNumId="1" w15:restartNumberingAfterBreak="0">
    <w:nsid w:val="04FC5CB7"/>
    <w:multiLevelType w:val="multilevel"/>
    <w:tmpl w:val="EF44C504"/>
    <w:lvl w:ilvl="0">
      <w:start w:val="1"/>
      <w:numFmt w:val="decimal"/>
      <w:lvlText w:val="%1."/>
      <w:lvlJc w:val="left"/>
      <w:pPr>
        <w:ind w:left="720" w:hanging="360"/>
      </w:pPr>
    </w:lvl>
    <w:lvl w:ilvl="1">
      <w:start w:val="1"/>
      <w:numFmt w:val="decimal"/>
      <w:isLgl/>
      <w:lvlText w:val="%1.%2"/>
      <w:lvlJc w:val="left"/>
      <w:pPr>
        <w:ind w:left="1980" w:hanging="360"/>
      </w:pPr>
    </w:lvl>
    <w:lvl w:ilvl="2">
      <w:start w:val="1"/>
      <w:numFmt w:val="decimal"/>
      <w:isLgl/>
      <w:lvlText w:val="%1.%2.%3"/>
      <w:lvlJc w:val="left"/>
      <w:pPr>
        <w:ind w:left="3600" w:hanging="720"/>
      </w:pPr>
    </w:lvl>
    <w:lvl w:ilvl="3">
      <w:start w:val="1"/>
      <w:numFmt w:val="decimal"/>
      <w:isLgl/>
      <w:lvlText w:val="%1.%2.%3.%4"/>
      <w:lvlJc w:val="left"/>
      <w:pPr>
        <w:ind w:left="4860" w:hanging="720"/>
      </w:pPr>
    </w:lvl>
    <w:lvl w:ilvl="4">
      <w:start w:val="1"/>
      <w:numFmt w:val="decimal"/>
      <w:isLgl/>
      <w:lvlText w:val="%1.%2.%3.%4.%5"/>
      <w:lvlJc w:val="left"/>
      <w:pPr>
        <w:ind w:left="6480" w:hanging="1080"/>
      </w:pPr>
    </w:lvl>
    <w:lvl w:ilvl="5">
      <w:start w:val="1"/>
      <w:numFmt w:val="decimal"/>
      <w:isLgl/>
      <w:lvlText w:val="%1.%2.%3.%4.%5.%6"/>
      <w:lvlJc w:val="left"/>
      <w:pPr>
        <w:ind w:left="7740" w:hanging="1080"/>
      </w:pPr>
    </w:lvl>
    <w:lvl w:ilvl="6">
      <w:start w:val="1"/>
      <w:numFmt w:val="decimal"/>
      <w:isLgl/>
      <w:lvlText w:val="%1.%2.%3.%4.%5.%6.%7"/>
      <w:lvlJc w:val="left"/>
      <w:pPr>
        <w:ind w:left="9360" w:hanging="1440"/>
      </w:pPr>
    </w:lvl>
    <w:lvl w:ilvl="7">
      <w:start w:val="1"/>
      <w:numFmt w:val="decimal"/>
      <w:isLgl/>
      <w:lvlText w:val="%1.%2.%3.%4.%5.%6.%7.%8"/>
      <w:lvlJc w:val="left"/>
      <w:pPr>
        <w:ind w:left="10620" w:hanging="1440"/>
      </w:pPr>
    </w:lvl>
    <w:lvl w:ilvl="8">
      <w:start w:val="1"/>
      <w:numFmt w:val="decimal"/>
      <w:isLgl/>
      <w:lvlText w:val="%1.%2.%3.%4.%5.%6.%7.%8.%9"/>
      <w:lvlJc w:val="left"/>
      <w:pPr>
        <w:ind w:left="12240" w:hanging="1800"/>
      </w:pPr>
    </w:lvl>
  </w:abstractNum>
  <w:abstractNum w:abstractNumId="2" w15:restartNumberingAfterBreak="0">
    <w:nsid w:val="0AFB7BA7"/>
    <w:multiLevelType w:val="hybridMultilevel"/>
    <w:tmpl w:val="353CC36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5514B0"/>
    <w:multiLevelType w:val="hybridMultilevel"/>
    <w:tmpl w:val="93BAE9D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450BA6"/>
    <w:multiLevelType w:val="hybridMultilevel"/>
    <w:tmpl w:val="40CAD3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527D1"/>
    <w:multiLevelType w:val="hybridMultilevel"/>
    <w:tmpl w:val="92880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525C8"/>
    <w:multiLevelType w:val="hybridMultilevel"/>
    <w:tmpl w:val="71844B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C281A"/>
    <w:multiLevelType w:val="hybridMultilevel"/>
    <w:tmpl w:val="822EA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7D6088"/>
    <w:multiLevelType w:val="hybridMultilevel"/>
    <w:tmpl w:val="A7060A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1464F"/>
    <w:multiLevelType w:val="hybridMultilevel"/>
    <w:tmpl w:val="F45884CA"/>
    <w:lvl w:ilvl="0" w:tplc="08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44C1E"/>
    <w:multiLevelType w:val="hybridMultilevel"/>
    <w:tmpl w:val="CCC88F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67044"/>
    <w:multiLevelType w:val="hybridMultilevel"/>
    <w:tmpl w:val="4B7672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23A0E"/>
    <w:multiLevelType w:val="hybridMultilevel"/>
    <w:tmpl w:val="F440E4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00A53"/>
    <w:multiLevelType w:val="hybridMultilevel"/>
    <w:tmpl w:val="6AD4C0A2"/>
    <w:lvl w:ilvl="0" w:tplc="0409000D">
      <w:start w:val="1"/>
      <w:numFmt w:val="bullet"/>
      <w:lvlText w:val=""/>
      <w:lvlJc w:val="left"/>
      <w:pPr>
        <w:ind w:left="788" w:hanging="360"/>
      </w:pPr>
      <w:rPr>
        <w:rFonts w:ascii="Wingdings" w:hAnsi="Wingdings" w:hint="default"/>
      </w:rPr>
    </w:lvl>
    <w:lvl w:ilvl="1" w:tplc="08090003">
      <w:start w:val="1"/>
      <w:numFmt w:val="bullet"/>
      <w:lvlText w:val="o"/>
      <w:lvlJc w:val="left"/>
      <w:pPr>
        <w:ind w:left="1508" w:hanging="360"/>
      </w:pPr>
      <w:rPr>
        <w:rFonts w:ascii="Courier New" w:hAnsi="Courier New" w:cs="Courier New" w:hint="default"/>
      </w:rPr>
    </w:lvl>
    <w:lvl w:ilvl="2" w:tplc="08090005">
      <w:start w:val="1"/>
      <w:numFmt w:val="bullet"/>
      <w:lvlText w:val=""/>
      <w:lvlJc w:val="left"/>
      <w:pPr>
        <w:ind w:left="2228" w:hanging="360"/>
      </w:pPr>
      <w:rPr>
        <w:rFonts w:ascii="Wingdings" w:hAnsi="Wingdings" w:hint="default"/>
      </w:rPr>
    </w:lvl>
    <w:lvl w:ilvl="3" w:tplc="08090001">
      <w:start w:val="1"/>
      <w:numFmt w:val="bullet"/>
      <w:lvlText w:val=""/>
      <w:lvlJc w:val="left"/>
      <w:pPr>
        <w:ind w:left="2948" w:hanging="360"/>
      </w:pPr>
      <w:rPr>
        <w:rFonts w:ascii="Symbol" w:hAnsi="Symbol" w:hint="default"/>
      </w:rPr>
    </w:lvl>
    <w:lvl w:ilvl="4" w:tplc="08090003">
      <w:start w:val="1"/>
      <w:numFmt w:val="bullet"/>
      <w:lvlText w:val="o"/>
      <w:lvlJc w:val="left"/>
      <w:pPr>
        <w:ind w:left="3668" w:hanging="360"/>
      </w:pPr>
      <w:rPr>
        <w:rFonts w:ascii="Courier New" w:hAnsi="Courier New" w:cs="Courier New" w:hint="default"/>
      </w:rPr>
    </w:lvl>
    <w:lvl w:ilvl="5" w:tplc="08090005">
      <w:start w:val="1"/>
      <w:numFmt w:val="bullet"/>
      <w:lvlText w:val=""/>
      <w:lvlJc w:val="left"/>
      <w:pPr>
        <w:ind w:left="4388" w:hanging="360"/>
      </w:pPr>
      <w:rPr>
        <w:rFonts w:ascii="Wingdings" w:hAnsi="Wingdings" w:hint="default"/>
      </w:rPr>
    </w:lvl>
    <w:lvl w:ilvl="6" w:tplc="08090001">
      <w:start w:val="1"/>
      <w:numFmt w:val="bullet"/>
      <w:lvlText w:val=""/>
      <w:lvlJc w:val="left"/>
      <w:pPr>
        <w:ind w:left="5108" w:hanging="360"/>
      </w:pPr>
      <w:rPr>
        <w:rFonts w:ascii="Symbol" w:hAnsi="Symbol" w:hint="default"/>
      </w:rPr>
    </w:lvl>
    <w:lvl w:ilvl="7" w:tplc="08090003">
      <w:start w:val="1"/>
      <w:numFmt w:val="bullet"/>
      <w:lvlText w:val="o"/>
      <w:lvlJc w:val="left"/>
      <w:pPr>
        <w:ind w:left="5828" w:hanging="360"/>
      </w:pPr>
      <w:rPr>
        <w:rFonts w:ascii="Courier New" w:hAnsi="Courier New" w:cs="Courier New" w:hint="default"/>
      </w:rPr>
    </w:lvl>
    <w:lvl w:ilvl="8" w:tplc="08090005">
      <w:start w:val="1"/>
      <w:numFmt w:val="bullet"/>
      <w:lvlText w:val=""/>
      <w:lvlJc w:val="left"/>
      <w:pPr>
        <w:ind w:left="6548" w:hanging="360"/>
      </w:pPr>
      <w:rPr>
        <w:rFonts w:ascii="Wingdings" w:hAnsi="Wingdings" w:hint="default"/>
      </w:rPr>
    </w:lvl>
  </w:abstractNum>
  <w:abstractNum w:abstractNumId="14" w15:restartNumberingAfterBreak="0">
    <w:nsid w:val="4ECD5B8E"/>
    <w:multiLevelType w:val="hybridMultilevel"/>
    <w:tmpl w:val="FCFE1F4A"/>
    <w:lvl w:ilvl="0" w:tplc="08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F2543C"/>
    <w:multiLevelType w:val="hybridMultilevel"/>
    <w:tmpl w:val="30D47BEA"/>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6" w15:restartNumberingAfterBreak="0">
    <w:nsid w:val="57EF2BC3"/>
    <w:multiLevelType w:val="hybridMultilevel"/>
    <w:tmpl w:val="1B341A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C55BF1"/>
    <w:multiLevelType w:val="hybridMultilevel"/>
    <w:tmpl w:val="101075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CB2C98"/>
    <w:multiLevelType w:val="hybridMultilevel"/>
    <w:tmpl w:val="50E48D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355C4"/>
    <w:multiLevelType w:val="hybridMultilevel"/>
    <w:tmpl w:val="1968181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8513CFD"/>
    <w:multiLevelType w:val="hybridMultilevel"/>
    <w:tmpl w:val="985A361A"/>
    <w:lvl w:ilvl="0" w:tplc="08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F16CBA"/>
    <w:multiLevelType w:val="hybridMultilevel"/>
    <w:tmpl w:val="E4F2A95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14E7EC5"/>
    <w:multiLevelType w:val="hybridMultilevel"/>
    <w:tmpl w:val="31E45846"/>
    <w:lvl w:ilvl="0" w:tplc="08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6"/>
  </w:num>
  <w:num w:numId="4">
    <w:abstractNumId w:val="12"/>
  </w:num>
  <w:num w:numId="5">
    <w:abstractNumId w:val="18"/>
  </w:num>
  <w:num w:numId="6">
    <w:abstractNumId w:val="15"/>
  </w:num>
  <w:num w:numId="7">
    <w:abstractNumId w:val="21"/>
  </w:num>
  <w:num w:numId="8">
    <w:abstractNumId w:val="19"/>
  </w:num>
  <w:num w:numId="9">
    <w:abstractNumId w:val="1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13"/>
  </w:num>
  <w:num w:numId="18">
    <w:abstractNumId w:val="7"/>
  </w:num>
  <w:num w:numId="19">
    <w:abstractNumId w:val="9"/>
  </w:num>
  <w:num w:numId="20">
    <w:abstractNumId w:val="20"/>
  </w:num>
  <w:num w:numId="21">
    <w:abstractNumId w:val="22"/>
  </w:num>
  <w:num w:numId="22">
    <w:abstractNumId w:val="14"/>
  </w:num>
  <w:num w:numId="23">
    <w:abstractNumId w:val="6"/>
  </w:num>
  <w:num w:numId="24">
    <w:abstractNumId w:val="5"/>
  </w:num>
  <w:num w:numId="25">
    <w:abstractNumId w:val="11"/>
  </w:num>
  <w:num w:numId="26">
    <w:abstractNumId w:val="17"/>
  </w:num>
  <w:num w:numId="2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84"/>
    <w:rsid w:val="00000B4D"/>
    <w:rsid w:val="00002ED6"/>
    <w:rsid w:val="000218FE"/>
    <w:rsid w:val="00023AE0"/>
    <w:rsid w:val="00033B7C"/>
    <w:rsid w:val="000433BE"/>
    <w:rsid w:val="00051598"/>
    <w:rsid w:val="00054AC4"/>
    <w:rsid w:val="00060294"/>
    <w:rsid w:val="00061C9D"/>
    <w:rsid w:val="00062547"/>
    <w:rsid w:val="000649F6"/>
    <w:rsid w:val="00066C5B"/>
    <w:rsid w:val="00074DAC"/>
    <w:rsid w:val="0007592A"/>
    <w:rsid w:val="00085F90"/>
    <w:rsid w:val="000928CA"/>
    <w:rsid w:val="00094DDF"/>
    <w:rsid w:val="000A2CA7"/>
    <w:rsid w:val="000A362C"/>
    <w:rsid w:val="000B1C6E"/>
    <w:rsid w:val="000B6FC3"/>
    <w:rsid w:val="000C0FC0"/>
    <w:rsid w:val="000C2C51"/>
    <w:rsid w:val="000C2F56"/>
    <w:rsid w:val="000C51FE"/>
    <w:rsid w:val="000D00E9"/>
    <w:rsid w:val="000D267A"/>
    <w:rsid w:val="000D5788"/>
    <w:rsid w:val="000D5A3C"/>
    <w:rsid w:val="000F5DF4"/>
    <w:rsid w:val="000F5F44"/>
    <w:rsid w:val="000F7B93"/>
    <w:rsid w:val="00101073"/>
    <w:rsid w:val="0010262F"/>
    <w:rsid w:val="001067DA"/>
    <w:rsid w:val="00107365"/>
    <w:rsid w:val="001178D1"/>
    <w:rsid w:val="00117AC5"/>
    <w:rsid w:val="00122D5F"/>
    <w:rsid w:val="00127075"/>
    <w:rsid w:val="00132600"/>
    <w:rsid w:val="00133358"/>
    <w:rsid w:val="00136EF0"/>
    <w:rsid w:val="00144EA8"/>
    <w:rsid w:val="00150FAA"/>
    <w:rsid w:val="00152660"/>
    <w:rsid w:val="0016456C"/>
    <w:rsid w:val="00166F7E"/>
    <w:rsid w:val="00167A35"/>
    <w:rsid w:val="00172BA3"/>
    <w:rsid w:val="00174B74"/>
    <w:rsid w:val="001806FA"/>
    <w:rsid w:val="00190AF0"/>
    <w:rsid w:val="00190D67"/>
    <w:rsid w:val="001935D6"/>
    <w:rsid w:val="001A4762"/>
    <w:rsid w:val="001B05C8"/>
    <w:rsid w:val="001B0CF8"/>
    <w:rsid w:val="001B183D"/>
    <w:rsid w:val="001B53E9"/>
    <w:rsid w:val="001B5A2E"/>
    <w:rsid w:val="001C072F"/>
    <w:rsid w:val="001C1427"/>
    <w:rsid w:val="001C1CB7"/>
    <w:rsid w:val="001C1ED4"/>
    <w:rsid w:val="001D1314"/>
    <w:rsid w:val="001F2A28"/>
    <w:rsid w:val="002066A7"/>
    <w:rsid w:val="0023103C"/>
    <w:rsid w:val="0023480F"/>
    <w:rsid w:val="00235D5B"/>
    <w:rsid w:val="002448B9"/>
    <w:rsid w:val="00245BB6"/>
    <w:rsid w:val="002463F8"/>
    <w:rsid w:val="00250553"/>
    <w:rsid w:val="00250827"/>
    <w:rsid w:val="002529CD"/>
    <w:rsid w:val="00254832"/>
    <w:rsid w:val="002602B4"/>
    <w:rsid w:val="00264F72"/>
    <w:rsid w:val="00265FD4"/>
    <w:rsid w:val="002665F0"/>
    <w:rsid w:val="00271DF5"/>
    <w:rsid w:val="002724FE"/>
    <w:rsid w:val="00280BAE"/>
    <w:rsid w:val="00282886"/>
    <w:rsid w:val="0028528A"/>
    <w:rsid w:val="00295950"/>
    <w:rsid w:val="002A059F"/>
    <w:rsid w:val="002A2779"/>
    <w:rsid w:val="002A3BEC"/>
    <w:rsid w:val="002A4037"/>
    <w:rsid w:val="002A6555"/>
    <w:rsid w:val="002B496F"/>
    <w:rsid w:val="002C2BAD"/>
    <w:rsid w:val="002C2DC8"/>
    <w:rsid w:val="002C4976"/>
    <w:rsid w:val="002C6856"/>
    <w:rsid w:val="002C79CC"/>
    <w:rsid w:val="002D27A9"/>
    <w:rsid w:val="002D40FA"/>
    <w:rsid w:val="002D5DF6"/>
    <w:rsid w:val="002D7AA9"/>
    <w:rsid w:val="002E598C"/>
    <w:rsid w:val="002F193E"/>
    <w:rsid w:val="00302351"/>
    <w:rsid w:val="003027C6"/>
    <w:rsid w:val="00314340"/>
    <w:rsid w:val="00322223"/>
    <w:rsid w:val="0032250F"/>
    <w:rsid w:val="00324B8F"/>
    <w:rsid w:val="00324EB8"/>
    <w:rsid w:val="00326EC9"/>
    <w:rsid w:val="0032740D"/>
    <w:rsid w:val="00327BE4"/>
    <w:rsid w:val="00333FBB"/>
    <w:rsid w:val="0034110B"/>
    <w:rsid w:val="003469AC"/>
    <w:rsid w:val="003506AF"/>
    <w:rsid w:val="003515A9"/>
    <w:rsid w:val="00352466"/>
    <w:rsid w:val="00361FC0"/>
    <w:rsid w:val="00365A77"/>
    <w:rsid w:val="003678AE"/>
    <w:rsid w:val="00382EF7"/>
    <w:rsid w:val="00383E5F"/>
    <w:rsid w:val="00390858"/>
    <w:rsid w:val="003916DF"/>
    <w:rsid w:val="00394E62"/>
    <w:rsid w:val="003A32F3"/>
    <w:rsid w:val="003A40E0"/>
    <w:rsid w:val="003A4917"/>
    <w:rsid w:val="003C34EE"/>
    <w:rsid w:val="003C3F4A"/>
    <w:rsid w:val="003C518B"/>
    <w:rsid w:val="003C77A8"/>
    <w:rsid w:val="003D6CB5"/>
    <w:rsid w:val="003E2D91"/>
    <w:rsid w:val="003E4042"/>
    <w:rsid w:val="003E7180"/>
    <w:rsid w:val="003F6ABF"/>
    <w:rsid w:val="00402DAF"/>
    <w:rsid w:val="00404EE3"/>
    <w:rsid w:val="004113A4"/>
    <w:rsid w:val="00417A14"/>
    <w:rsid w:val="004253BE"/>
    <w:rsid w:val="0043115B"/>
    <w:rsid w:val="00432274"/>
    <w:rsid w:val="00432571"/>
    <w:rsid w:val="004353DA"/>
    <w:rsid w:val="004470BC"/>
    <w:rsid w:val="004615C7"/>
    <w:rsid w:val="00466ACE"/>
    <w:rsid w:val="00470C49"/>
    <w:rsid w:val="0047417D"/>
    <w:rsid w:val="00485332"/>
    <w:rsid w:val="00487804"/>
    <w:rsid w:val="00494E6B"/>
    <w:rsid w:val="004A0B73"/>
    <w:rsid w:val="004B479A"/>
    <w:rsid w:val="004C108A"/>
    <w:rsid w:val="004D1A1B"/>
    <w:rsid w:val="004E50FE"/>
    <w:rsid w:val="004E5439"/>
    <w:rsid w:val="004F2E50"/>
    <w:rsid w:val="004F2F44"/>
    <w:rsid w:val="004F3745"/>
    <w:rsid w:val="004F59AE"/>
    <w:rsid w:val="00505DE1"/>
    <w:rsid w:val="005077FF"/>
    <w:rsid w:val="0051054A"/>
    <w:rsid w:val="00515560"/>
    <w:rsid w:val="005159E4"/>
    <w:rsid w:val="00517EB1"/>
    <w:rsid w:val="005225F3"/>
    <w:rsid w:val="00531786"/>
    <w:rsid w:val="00531BA5"/>
    <w:rsid w:val="005322D9"/>
    <w:rsid w:val="00533A04"/>
    <w:rsid w:val="0054153B"/>
    <w:rsid w:val="005464C1"/>
    <w:rsid w:val="00555CED"/>
    <w:rsid w:val="00573829"/>
    <w:rsid w:val="0057780A"/>
    <w:rsid w:val="00583D8A"/>
    <w:rsid w:val="00585D15"/>
    <w:rsid w:val="00585E9A"/>
    <w:rsid w:val="005900E5"/>
    <w:rsid w:val="00592B72"/>
    <w:rsid w:val="00592F49"/>
    <w:rsid w:val="00595F04"/>
    <w:rsid w:val="00597751"/>
    <w:rsid w:val="005A436A"/>
    <w:rsid w:val="005A5D20"/>
    <w:rsid w:val="005A7B3F"/>
    <w:rsid w:val="005B0485"/>
    <w:rsid w:val="005C649E"/>
    <w:rsid w:val="005C786D"/>
    <w:rsid w:val="005D06EA"/>
    <w:rsid w:val="005D4E89"/>
    <w:rsid w:val="005D7765"/>
    <w:rsid w:val="005E20FC"/>
    <w:rsid w:val="005F5D9B"/>
    <w:rsid w:val="00602DFF"/>
    <w:rsid w:val="006039A1"/>
    <w:rsid w:val="006068B0"/>
    <w:rsid w:val="00611F0F"/>
    <w:rsid w:val="00616E42"/>
    <w:rsid w:val="00617EC2"/>
    <w:rsid w:val="00620A2B"/>
    <w:rsid w:val="006269D3"/>
    <w:rsid w:val="006322D7"/>
    <w:rsid w:val="0063491F"/>
    <w:rsid w:val="00634C11"/>
    <w:rsid w:val="00635BF3"/>
    <w:rsid w:val="006363EE"/>
    <w:rsid w:val="00637E80"/>
    <w:rsid w:val="006446C3"/>
    <w:rsid w:val="00647669"/>
    <w:rsid w:val="00651329"/>
    <w:rsid w:val="00656F13"/>
    <w:rsid w:val="00674626"/>
    <w:rsid w:val="006749FE"/>
    <w:rsid w:val="00680E6D"/>
    <w:rsid w:val="006B0A97"/>
    <w:rsid w:val="006B3787"/>
    <w:rsid w:val="006B54B9"/>
    <w:rsid w:val="006B681A"/>
    <w:rsid w:val="006B7A4D"/>
    <w:rsid w:val="006C7E55"/>
    <w:rsid w:val="006D22CF"/>
    <w:rsid w:val="006D63D3"/>
    <w:rsid w:val="006F2072"/>
    <w:rsid w:val="006F2C2B"/>
    <w:rsid w:val="006F3FC0"/>
    <w:rsid w:val="006F7900"/>
    <w:rsid w:val="006F7FDE"/>
    <w:rsid w:val="00711C7D"/>
    <w:rsid w:val="0072322C"/>
    <w:rsid w:val="00723450"/>
    <w:rsid w:val="00724E52"/>
    <w:rsid w:val="0072539A"/>
    <w:rsid w:val="00725F9F"/>
    <w:rsid w:val="00727B8D"/>
    <w:rsid w:val="0073421B"/>
    <w:rsid w:val="00741032"/>
    <w:rsid w:val="00742091"/>
    <w:rsid w:val="00744F1B"/>
    <w:rsid w:val="00747148"/>
    <w:rsid w:val="00747D31"/>
    <w:rsid w:val="00750678"/>
    <w:rsid w:val="00756A80"/>
    <w:rsid w:val="007600B2"/>
    <w:rsid w:val="00767363"/>
    <w:rsid w:val="007713F2"/>
    <w:rsid w:val="007727F4"/>
    <w:rsid w:val="00775AB2"/>
    <w:rsid w:val="00776AF5"/>
    <w:rsid w:val="00780BDA"/>
    <w:rsid w:val="007811D7"/>
    <w:rsid w:val="0078512F"/>
    <w:rsid w:val="007939A7"/>
    <w:rsid w:val="00794D44"/>
    <w:rsid w:val="00796484"/>
    <w:rsid w:val="0079663E"/>
    <w:rsid w:val="007A3DCB"/>
    <w:rsid w:val="007A41E6"/>
    <w:rsid w:val="007B22A2"/>
    <w:rsid w:val="007B6A83"/>
    <w:rsid w:val="007B7A6F"/>
    <w:rsid w:val="007C0C37"/>
    <w:rsid w:val="007C56A9"/>
    <w:rsid w:val="007D205F"/>
    <w:rsid w:val="007D37F8"/>
    <w:rsid w:val="007E05B6"/>
    <w:rsid w:val="007E747C"/>
    <w:rsid w:val="007F5092"/>
    <w:rsid w:val="008067E7"/>
    <w:rsid w:val="008078D1"/>
    <w:rsid w:val="00817CB8"/>
    <w:rsid w:val="00821633"/>
    <w:rsid w:val="008242DB"/>
    <w:rsid w:val="0082607B"/>
    <w:rsid w:val="00830A78"/>
    <w:rsid w:val="00832C84"/>
    <w:rsid w:val="008332F9"/>
    <w:rsid w:val="00844DE7"/>
    <w:rsid w:val="0085497A"/>
    <w:rsid w:val="008549E5"/>
    <w:rsid w:val="00856E76"/>
    <w:rsid w:val="00874A70"/>
    <w:rsid w:val="0087501E"/>
    <w:rsid w:val="00877ABD"/>
    <w:rsid w:val="00886C0D"/>
    <w:rsid w:val="00892C1C"/>
    <w:rsid w:val="00894EB5"/>
    <w:rsid w:val="008953D3"/>
    <w:rsid w:val="008A120F"/>
    <w:rsid w:val="008A2659"/>
    <w:rsid w:val="008A32C3"/>
    <w:rsid w:val="008A441D"/>
    <w:rsid w:val="008A456F"/>
    <w:rsid w:val="008A6CD5"/>
    <w:rsid w:val="008B4CDA"/>
    <w:rsid w:val="008B5650"/>
    <w:rsid w:val="008C3066"/>
    <w:rsid w:val="008C5162"/>
    <w:rsid w:val="008D1516"/>
    <w:rsid w:val="008E2E74"/>
    <w:rsid w:val="008E3486"/>
    <w:rsid w:val="008E46D9"/>
    <w:rsid w:val="008E548A"/>
    <w:rsid w:val="008E6604"/>
    <w:rsid w:val="008F5F29"/>
    <w:rsid w:val="009005CD"/>
    <w:rsid w:val="009022AD"/>
    <w:rsid w:val="00902ECF"/>
    <w:rsid w:val="009034BF"/>
    <w:rsid w:val="00903C95"/>
    <w:rsid w:val="00904A9F"/>
    <w:rsid w:val="0091329A"/>
    <w:rsid w:val="00913A42"/>
    <w:rsid w:val="00914065"/>
    <w:rsid w:val="00916C26"/>
    <w:rsid w:val="0093656B"/>
    <w:rsid w:val="00937582"/>
    <w:rsid w:val="009425FE"/>
    <w:rsid w:val="0094714A"/>
    <w:rsid w:val="00953A8E"/>
    <w:rsid w:val="00960565"/>
    <w:rsid w:val="00967201"/>
    <w:rsid w:val="009672F7"/>
    <w:rsid w:val="00975433"/>
    <w:rsid w:val="00975FD0"/>
    <w:rsid w:val="009821AB"/>
    <w:rsid w:val="00985BDB"/>
    <w:rsid w:val="00986C9E"/>
    <w:rsid w:val="00997727"/>
    <w:rsid w:val="009A1782"/>
    <w:rsid w:val="009A4227"/>
    <w:rsid w:val="009A4F8A"/>
    <w:rsid w:val="009B0C52"/>
    <w:rsid w:val="009B734F"/>
    <w:rsid w:val="009C19C2"/>
    <w:rsid w:val="009D1842"/>
    <w:rsid w:val="009E0F58"/>
    <w:rsid w:val="009E12DA"/>
    <w:rsid w:val="00A0086C"/>
    <w:rsid w:val="00A01B22"/>
    <w:rsid w:val="00A01DBC"/>
    <w:rsid w:val="00A051A5"/>
    <w:rsid w:val="00A0681F"/>
    <w:rsid w:val="00A13E74"/>
    <w:rsid w:val="00A26BD1"/>
    <w:rsid w:val="00A3069F"/>
    <w:rsid w:val="00A3638B"/>
    <w:rsid w:val="00A37CEF"/>
    <w:rsid w:val="00A42672"/>
    <w:rsid w:val="00A43C1D"/>
    <w:rsid w:val="00A52294"/>
    <w:rsid w:val="00A52C6C"/>
    <w:rsid w:val="00A61CED"/>
    <w:rsid w:val="00A6216F"/>
    <w:rsid w:val="00A640C3"/>
    <w:rsid w:val="00A6511A"/>
    <w:rsid w:val="00A7132F"/>
    <w:rsid w:val="00A71DC6"/>
    <w:rsid w:val="00A74D95"/>
    <w:rsid w:val="00A8243F"/>
    <w:rsid w:val="00A84CFF"/>
    <w:rsid w:val="00A84DB0"/>
    <w:rsid w:val="00A868A7"/>
    <w:rsid w:val="00A938BD"/>
    <w:rsid w:val="00A93BEE"/>
    <w:rsid w:val="00AA5CB9"/>
    <w:rsid w:val="00AB0BDB"/>
    <w:rsid w:val="00AB4D11"/>
    <w:rsid w:val="00AC36AF"/>
    <w:rsid w:val="00AC59C2"/>
    <w:rsid w:val="00AC6943"/>
    <w:rsid w:val="00AD0A9F"/>
    <w:rsid w:val="00AD2395"/>
    <w:rsid w:val="00AD4C0C"/>
    <w:rsid w:val="00AD50DD"/>
    <w:rsid w:val="00AD5A99"/>
    <w:rsid w:val="00AE3DE3"/>
    <w:rsid w:val="00AE56BD"/>
    <w:rsid w:val="00AE6AB3"/>
    <w:rsid w:val="00AF2F7D"/>
    <w:rsid w:val="00B00EA1"/>
    <w:rsid w:val="00B01E2B"/>
    <w:rsid w:val="00B13AC7"/>
    <w:rsid w:val="00B2075D"/>
    <w:rsid w:val="00B23090"/>
    <w:rsid w:val="00B23EC4"/>
    <w:rsid w:val="00B25722"/>
    <w:rsid w:val="00B25A36"/>
    <w:rsid w:val="00B30870"/>
    <w:rsid w:val="00B3087C"/>
    <w:rsid w:val="00B31B8F"/>
    <w:rsid w:val="00B33770"/>
    <w:rsid w:val="00B3401D"/>
    <w:rsid w:val="00B360BA"/>
    <w:rsid w:val="00B3625A"/>
    <w:rsid w:val="00B401BD"/>
    <w:rsid w:val="00B41426"/>
    <w:rsid w:val="00B45B7D"/>
    <w:rsid w:val="00B45E62"/>
    <w:rsid w:val="00B5031D"/>
    <w:rsid w:val="00B60593"/>
    <w:rsid w:val="00B636AE"/>
    <w:rsid w:val="00B63B97"/>
    <w:rsid w:val="00B6691A"/>
    <w:rsid w:val="00B706EE"/>
    <w:rsid w:val="00B718CE"/>
    <w:rsid w:val="00B7517A"/>
    <w:rsid w:val="00B755FD"/>
    <w:rsid w:val="00B75EE5"/>
    <w:rsid w:val="00B77A8F"/>
    <w:rsid w:val="00B826D6"/>
    <w:rsid w:val="00B8391F"/>
    <w:rsid w:val="00B8479E"/>
    <w:rsid w:val="00B85BD0"/>
    <w:rsid w:val="00B90470"/>
    <w:rsid w:val="00B9090C"/>
    <w:rsid w:val="00BA0ED5"/>
    <w:rsid w:val="00BA252E"/>
    <w:rsid w:val="00BA5C73"/>
    <w:rsid w:val="00BB204D"/>
    <w:rsid w:val="00BB4291"/>
    <w:rsid w:val="00BB56AB"/>
    <w:rsid w:val="00BC537A"/>
    <w:rsid w:val="00BC7FC3"/>
    <w:rsid w:val="00BD085F"/>
    <w:rsid w:val="00BD2002"/>
    <w:rsid w:val="00BD261A"/>
    <w:rsid w:val="00BE0C90"/>
    <w:rsid w:val="00BE224E"/>
    <w:rsid w:val="00BE56CE"/>
    <w:rsid w:val="00BE5BCF"/>
    <w:rsid w:val="00BE74CD"/>
    <w:rsid w:val="00BF13FA"/>
    <w:rsid w:val="00BF567C"/>
    <w:rsid w:val="00BF668F"/>
    <w:rsid w:val="00C021FD"/>
    <w:rsid w:val="00C03840"/>
    <w:rsid w:val="00C041E0"/>
    <w:rsid w:val="00C102DB"/>
    <w:rsid w:val="00C14611"/>
    <w:rsid w:val="00C216E6"/>
    <w:rsid w:val="00C31E9F"/>
    <w:rsid w:val="00C320DF"/>
    <w:rsid w:val="00C349B2"/>
    <w:rsid w:val="00C4096B"/>
    <w:rsid w:val="00C42AE2"/>
    <w:rsid w:val="00C45EA1"/>
    <w:rsid w:val="00C50EDD"/>
    <w:rsid w:val="00C66816"/>
    <w:rsid w:val="00C7144C"/>
    <w:rsid w:val="00C716E7"/>
    <w:rsid w:val="00C72B25"/>
    <w:rsid w:val="00C75342"/>
    <w:rsid w:val="00C823C7"/>
    <w:rsid w:val="00C83626"/>
    <w:rsid w:val="00C93A26"/>
    <w:rsid w:val="00C94014"/>
    <w:rsid w:val="00C952CB"/>
    <w:rsid w:val="00CA3891"/>
    <w:rsid w:val="00CB213F"/>
    <w:rsid w:val="00CB5404"/>
    <w:rsid w:val="00CB54A9"/>
    <w:rsid w:val="00CB64EF"/>
    <w:rsid w:val="00CC0E96"/>
    <w:rsid w:val="00CD178B"/>
    <w:rsid w:val="00CE109D"/>
    <w:rsid w:val="00CE4828"/>
    <w:rsid w:val="00CE6984"/>
    <w:rsid w:val="00CF1F16"/>
    <w:rsid w:val="00CF5DB8"/>
    <w:rsid w:val="00CF6406"/>
    <w:rsid w:val="00CF7757"/>
    <w:rsid w:val="00D01C9E"/>
    <w:rsid w:val="00D01D07"/>
    <w:rsid w:val="00D0341D"/>
    <w:rsid w:val="00D05C32"/>
    <w:rsid w:val="00D07484"/>
    <w:rsid w:val="00D156EB"/>
    <w:rsid w:val="00D2035D"/>
    <w:rsid w:val="00D2424C"/>
    <w:rsid w:val="00D3244F"/>
    <w:rsid w:val="00D352EC"/>
    <w:rsid w:val="00D41905"/>
    <w:rsid w:val="00D41933"/>
    <w:rsid w:val="00D41C80"/>
    <w:rsid w:val="00D45759"/>
    <w:rsid w:val="00D5125C"/>
    <w:rsid w:val="00D51ED8"/>
    <w:rsid w:val="00D56131"/>
    <w:rsid w:val="00D60B58"/>
    <w:rsid w:val="00D61BD6"/>
    <w:rsid w:val="00D656C4"/>
    <w:rsid w:val="00D72E88"/>
    <w:rsid w:val="00D83305"/>
    <w:rsid w:val="00D925CD"/>
    <w:rsid w:val="00D92984"/>
    <w:rsid w:val="00D93CF4"/>
    <w:rsid w:val="00D978D0"/>
    <w:rsid w:val="00DB03A6"/>
    <w:rsid w:val="00DB194E"/>
    <w:rsid w:val="00DB4A26"/>
    <w:rsid w:val="00DB5278"/>
    <w:rsid w:val="00DB769D"/>
    <w:rsid w:val="00DC0FF1"/>
    <w:rsid w:val="00DC40E0"/>
    <w:rsid w:val="00DC68B8"/>
    <w:rsid w:val="00DD0449"/>
    <w:rsid w:val="00DD3A26"/>
    <w:rsid w:val="00DD5754"/>
    <w:rsid w:val="00DD5E76"/>
    <w:rsid w:val="00DE2544"/>
    <w:rsid w:val="00DF005D"/>
    <w:rsid w:val="00DF1894"/>
    <w:rsid w:val="00E03BF5"/>
    <w:rsid w:val="00E05682"/>
    <w:rsid w:val="00E1684B"/>
    <w:rsid w:val="00E16FA7"/>
    <w:rsid w:val="00E2114F"/>
    <w:rsid w:val="00E2201D"/>
    <w:rsid w:val="00E2373E"/>
    <w:rsid w:val="00E261AF"/>
    <w:rsid w:val="00E33920"/>
    <w:rsid w:val="00E36E25"/>
    <w:rsid w:val="00E37B4E"/>
    <w:rsid w:val="00E40CDC"/>
    <w:rsid w:val="00E415AC"/>
    <w:rsid w:val="00E41EAD"/>
    <w:rsid w:val="00E54FD6"/>
    <w:rsid w:val="00E55484"/>
    <w:rsid w:val="00E70A3B"/>
    <w:rsid w:val="00E80C6F"/>
    <w:rsid w:val="00E822BA"/>
    <w:rsid w:val="00E857D1"/>
    <w:rsid w:val="00E90523"/>
    <w:rsid w:val="00E922E1"/>
    <w:rsid w:val="00E923FE"/>
    <w:rsid w:val="00EA3B47"/>
    <w:rsid w:val="00EA7C44"/>
    <w:rsid w:val="00EB55CE"/>
    <w:rsid w:val="00ED2157"/>
    <w:rsid w:val="00ED48E6"/>
    <w:rsid w:val="00ED6213"/>
    <w:rsid w:val="00ED75AA"/>
    <w:rsid w:val="00EE0811"/>
    <w:rsid w:val="00EF0673"/>
    <w:rsid w:val="00EF2216"/>
    <w:rsid w:val="00EF3EEF"/>
    <w:rsid w:val="00F03ACC"/>
    <w:rsid w:val="00F0599A"/>
    <w:rsid w:val="00F07512"/>
    <w:rsid w:val="00F14DB4"/>
    <w:rsid w:val="00F158B3"/>
    <w:rsid w:val="00F20DC1"/>
    <w:rsid w:val="00F21CEF"/>
    <w:rsid w:val="00F24E51"/>
    <w:rsid w:val="00F31D8F"/>
    <w:rsid w:val="00F3581D"/>
    <w:rsid w:val="00F37697"/>
    <w:rsid w:val="00F40E15"/>
    <w:rsid w:val="00F423F1"/>
    <w:rsid w:val="00F44C13"/>
    <w:rsid w:val="00F54AD0"/>
    <w:rsid w:val="00F57BF8"/>
    <w:rsid w:val="00F60BD2"/>
    <w:rsid w:val="00F61A07"/>
    <w:rsid w:val="00F61C75"/>
    <w:rsid w:val="00F62823"/>
    <w:rsid w:val="00F7073C"/>
    <w:rsid w:val="00F719D2"/>
    <w:rsid w:val="00F75E7E"/>
    <w:rsid w:val="00F81B82"/>
    <w:rsid w:val="00F8384A"/>
    <w:rsid w:val="00F84425"/>
    <w:rsid w:val="00F84696"/>
    <w:rsid w:val="00F94619"/>
    <w:rsid w:val="00FA0A1F"/>
    <w:rsid w:val="00FA212A"/>
    <w:rsid w:val="00FA51EC"/>
    <w:rsid w:val="00FA763A"/>
    <w:rsid w:val="00FA7F9B"/>
    <w:rsid w:val="00FB64B0"/>
    <w:rsid w:val="00FB71F1"/>
    <w:rsid w:val="00FC7825"/>
    <w:rsid w:val="00FC7CCF"/>
    <w:rsid w:val="00FD57BD"/>
    <w:rsid w:val="00FD5BE1"/>
    <w:rsid w:val="00FF18E7"/>
    <w:rsid w:val="00FF6018"/>
    <w:rsid w:val="00FF6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5FA27"/>
  <w15:docId w15:val="{649A4246-9D5A-425C-982B-B87E1587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6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32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2F3"/>
    <w:rPr>
      <w:rFonts w:ascii="Segoe UI" w:hAnsi="Segoe UI" w:cs="Segoe UI"/>
      <w:sz w:val="18"/>
      <w:szCs w:val="18"/>
    </w:rPr>
  </w:style>
  <w:style w:type="paragraph" w:styleId="ListParagraph">
    <w:name w:val="List Paragraph"/>
    <w:basedOn w:val="Normal"/>
    <w:qFormat/>
    <w:rsid w:val="00D92984"/>
    <w:pPr>
      <w:ind w:left="720"/>
      <w:contextualSpacing/>
    </w:pPr>
  </w:style>
  <w:style w:type="paragraph" w:styleId="NoSpacing">
    <w:name w:val="No Spacing"/>
    <w:uiPriority w:val="1"/>
    <w:qFormat/>
    <w:rsid w:val="00EF0673"/>
    <w:pPr>
      <w:spacing w:after="0" w:line="240" w:lineRule="auto"/>
    </w:pPr>
  </w:style>
  <w:style w:type="paragraph" w:styleId="Header">
    <w:name w:val="header"/>
    <w:aliases w:val="Char8 Char"/>
    <w:basedOn w:val="Normal"/>
    <w:link w:val="HeaderChar"/>
    <w:uiPriority w:val="99"/>
    <w:unhideWhenUsed/>
    <w:rsid w:val="00404EE3"/>
    <w:pPr>
      <w:tabs>
        <w:tab w:val="center" w:pos="4680"/>
        <w:tab w:val="right" w:pos="9360"/>
      </w:tabs>
      <w:spacing w:after="0" w:line="240" w:lineRule="auto"/>
    </w:pPr>
  </w:style>
  <w:style w:type="character" w:customStyle="1" w:styleId="HeaderChar">
    <w:name w:val="Header Char"/>
    <w:aliases w:val="Char8 Char Char"/>
    <w:basedOn w:val="DefaultParagraphFont"/>
    <w:link w:val="Header"/>
    <w:uiPriority w:val="99"/>
    <w:rsid w:val="00404EE3"/>
  </w:style>
  <w:style w:type="paragraph" w:styleId="Footer">
    <w:name w:val="footer"/>
    <w:basedOn w:val="Normal"/>
    <w:link w:val="FooterChar"/>
    <w:uiPriority w:val="99"/>
    <w:unhideWhenUsed/>
    <w:rsid w:val="00404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EE3"/>
  </w:style>
  <w:style w:type="paragraph" w:styleId="EndnoteText">
    <w:name w:val="endnote text"/>
    <w:basedOn w:val="Normal"/>
    <w:link w:val="EndnoteTextChar"/>
    <w:uiPriority w:val="99"/>
    <w:semiHidden/>
    <w:unhideWhenUsed/>
    <w:rsid w:val="00A26B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6BD1"/>
    <w:rPr>
      <w:sz w:val="20"/>
      <w:szCs w:val="20"/>
    </w:rPr>
  </w:style>
  <w:style w:type="character" w:styleId="EndnoteReference">
    <w:name w:val="endnote reference"/>
    <w:basedOn w:val="DefaultParagraphFont"/>
    <w:uiPriority w:val="99"/>
    <w:semiHidden/>
    <w:unhideWhenUsed/>
    <w:rsid w:val="00A26BD1"/>
    <w:rPr>
      <w:vertAlign w:val="superscript"/>
    </w:rPr>
  </w:style>
  <w:style w:type="paragraph" w:styleId="FootnoteText">
    <w:name w:val="footnote text"/>
    <w:basedOn w:val="Normal"/>
    <w:link w:val="FootnoteTextChar"/>
    <w:uiPriority w:val="99"/>
    <w:semiHidden/>
    <w:unhideWhenUsed/>
    <w:rsid w:val="00A26B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6BD1"/>
    <w:rPr>
      <w:sz w:val="20"/>
      <w:szCs w:val="20"/>
    </w:rPr>
  </w:style>
  <w:style w:type="character" w:styleId="FootnoteReference">
    <w:name w:val="footnote reference"/>
    <w:basedOn w:val="DefaultParagraphFont"/>
    <w:uiPriority w:val="99"/>
    <w:semiHidden/>
    <w:unhideWhenUsed/>
    <w:rsid w:val="00A26BD1"/>
    <w:rPr>
      <w:vertAlign w:val="superscript"/>
    </w:rPr>
  </w:style>
  <w:style w:type="paragraph" w:customStyle="1" w:styleId="Default">
    <w:name w:val="Default"/>
    <w:rsid w:val="00AE56B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144EA8"/>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styleId="Hyperlink">
    <w:name w:val="Hyperlink"/>
    <w:basedOn w:val="DefaultParagraphFont"/>
    <w:uiPriority w:val="99"/>
    <w:unhideWhenUsed/>
    <w:rsid w:val="004E5439"/>
    <w:rPr>
      <w:color w:val="0000FF" w:themeColor="hyperlink"/>
      <w:u w:val="single"/>
    </w:rPr>
  </w:style>
  <w:style w:type="paragraph" w:styleId="BodyText3">
    <w:name w:val="Body Text 3"/>
    <w:basedOn w:val="Normal"/>
    <w:link w:val="BodyText3Char"/>
    <w:uiPriority w:val="99"/>
    <w:semiHidden/>
    <w:unhideWhenUsed/>
    <w:rsid w:val="00E55484"/>
    <w:pPr>
      <w:spacing w:before="120" w:after="120" w:line="240" w:lineRule="auto"/>
    </w:pPr>
    <w:rPr>
      <w:rFonts w:ascii="Arial" w:eastAsia="Times New Roman" w:hAnsi="Arial" w:cs="Arial"/>
      <w:lang w:val="en-ZA"/>
    </w:rPr>
  </w:style>
  <w:style w:type="character" w:customStyle="1" w:styleId="BodyText3Char">
    <w:name w:val="Body Text 3 Char"/>
    <w:basedOn w:val="DefaultParagraphFont"/>
    <w:link w:val="BodyText3"/>
    <w:uiPriority w:val="99"/>
    <w:semiHidden/>
    <w:rsid w:val="00E55484"/>
    <w:rPr>
      <w:rFonts w:ascii="Arial" w:eastAsia="Times New Roman" w:hAnsi="Arial" w:cs="Arial"/>
      <w:lang w:val="en-ZA"/>
    </w:rPr>
  </w:style>
  <w:style w:type="paragraph" w:styleId="BodyTextIndent3">
    <w:name w:val="Body Text Indent 3"/>
    <w:basedOn w:val="Normal"/>
    <w:link w:val="BodyTextIndent3Char"/>
    <w:uiPriority w:val="99"/>
    <w:semiHidden/>
    <w:unhideWhenUsed/>
    <w:rsid w:val="00E55484"/>
    <w:pPr>
      <w:spacing w:before="120" w:after="120" w:line="312" w:lineRule="auto"/>
      <w:ind w:left="360"/>
    </w:pPr>
    <w:rPr>
      <w:rFonts w:ascii="Arial" w:eastAsia="Times New Roman" w:hAnsi="Arial" w:cs="Arial"/>
      <w:lang w:val="en-ZA"/>
    </w:rPr>
  </w:style>
  <w:style w:type="character" w:customStyle="1" w:styleId="BodyTextIndent3Char">
    <w:name w:val="Body Text Indent 3 Char"/>
    <w:basedOn w:val="DefaultParagraphFont"/>
    <w:link w:val="BodyTextIndent3"/>
    <w:uiPriority w:val="99"/>
    <w:semiHidden/>
    <w:rsid w:val="00E55484"/>
    <w:rPr>
      <w:rFonts w:ascii="Arial" w:eastAsia="Times New Roman" w:hAnsi="Arial" w:cs="Arial"/>
      <w:lang w:val="en-ZA"/>
    </w:rPr>
  </w:style>
  <w:style w:type="paragraph" w:customStyle="1" w:styleId="PORTFOLIOUSContentSubHeader">
    <w:name w:val="PORTFOLIO US: Content Sub Header"/>
    <w:basedOn w:val="Normal"/>
    <w:uiPriority w:val="99"/>
    <w:rsid w:val="00E55484"/>
    <w:pPr>
      <w:spacing w:after="0" w:line="240" w:lineRule="auto"/>
    </w:pPr>
    <w:rPr>
      <w:rFonts w:ascii="Arial" w:eastAsia="Times New Roman" w:hAnsi="Arial" w:cs="Arial"/>
      <w:b/>
      <w:bCs/>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6015">
      <w:bodyDiv w:val="1"/>
      <w:marLeft w:val="0"/>
      <w:marRight w:val="0"/>
      <w:marTop w:val="0"/>
      <w:marBottom w:val="0"/>
      <w:divBdr>
        <w:top w:val="none" w:sz="0" w:space="0" w:color="auto"/>
        <w:left w:val="none" w:sz="0" w:space="0" w:color="auto"/>
        <w:bottom w:val="none" w:sz="0" w:space="0" w:color="auto"/>
        <w:right w:val="none" w:sz="0" w:space="0" w:color="auto"/>
      </w:divBdr>
    </w:div>
    <w:div w:id="713694978">
      <w:bodyDiv w:val="1"/>
      <w:marLeft w:val="0"/>
      <w:marRight w:val="0"/>
      <w:marTop w:val="0"/>
      <w:marBottom w:val="0"/>
      <w:divBdr>
        <w:top w:val="none" w:sz="0" w:space="0" w:color="auto"/>
        <w:left w:val="none" w:sz="0" w:space="0" w:color="auto"/>
        <w:bottom w:val="none" w:sz="0" w:space="0" w:color="auto"/>
        <w:right w:val="none" w:sz="0" w:space="0" w:color="auto"/>
      </w:divBdr>
    </w:div>
    <w:div w:id="721952287">
      <w:bodyDiv w:val="1"/>
      <w:marLeft w:val="0"/>
      <w:marRight w:val="0"/>
      <w:marTop w:val="0"/>
      <w:marBottom w:val="0"/>
      <w:divBdr>
        <w:top w:val="none" w:sz="0" w:space="0" w:color="auto"/>
        <w:left w:val="none" w:sz="0" w:space="0" w:color="auto"/>
        <w:bottom w:val="none" w:sz="0" w:space="0" w:color="auto"/>
        <w:right w:val="none" w:sz="0" w:space="0" w:color="auto"/>
      </w:divBdr>
    </w:div>
    <w:div w:id="849756683">
      <w:bodyDiv w:val="1"/>
      <w:marLeft w:val="0"/>
      <w:marRight w:val="0"/>
      <w:marTop w:val="0"/>
      <w:marBottom w:val="0"/>
      <w:divBdr>
        <w:top w:val="none" w:sz="0" w:space="0" w:color="auto"/>
        <w:left w:val="none" w:sz="0" w:space="0" w:color="auto"/>
        <w:bottom w:val="none" w:sz="0" w:space="0" w:color="auto"/>
        <w:right w:val="none" w:sz="0" w:space="0" w:color="auto"/>
      </w:divBdr>
      <w:divsChild>
        <w:div w:id="661935698">
          <w:marLeft w:val="0"/>
          <w:marRight w:val="0"/>
          <w:marTop w:val="0"/>
          <w:marBottom w:val="0"/>
          <w:divBdr>
            <w:top w:val="none" w:sz="0" w:space="0" w:color="auto"/>
            <w:left w:val="none" w:sz="0" w:space="0" w:color="auto"/>
            <w:bottom w:val="none" w:sz="0" w:space="0" w:color="auto"/>
            <w:right w:val="none" w:sz="0" w:space="0" w:color="auto"/>
          </w:divBdr>
          <w:divsChild>
            <w:div w:id="453907895">
              <w:marLeft w:val="0"/>
              <w:marRight w:val="0"/>
              <w:marTop w:val="100"/>
              <w:marBottom w:val="100"/>
              <w:divBdr>
                <w:top w:val="none" w:sz="0" w:space="0" w:color="auto"/>
                <w:left w:val="none" w:sz="0" w:space="0" w:color="auto"/>
                <w:bottom w:val="none" w:sz="0" w:space="0" w:color="auto"/>
                <w:right w:val="none" w:sz="0" w:space="0" w:color="auto"/>
              </w:divBdr>
              <w:divsChild>
                <w:div w:id="945044798">
                  <w:marLeft w:val="0"/>
                  <w:marRight w:val="0"/>
                  <w:marTop w:val="100"/>
                  <w:marBottom w:val="100"/>
                  <w:divBdr>
                    <w:top w:val="none" w:sz="0" w:space="0" w:color="auto"/>
                    <w:left w:val="none" w:sz="0" w:space="0" w:color="auto"/>
                    <w:bottom w:val="none" w:sz="0" w:space="0" w:color="auto"/>
                    <w:right w:val="none" w:sz="0" w:space="0" w:color="auto"/>
                  </w:divBdr>
                  <w:divsChild>
                    <w:div w:id="200944965">
                      <w:marLeft w:val="0"/>
                      <w:marRight w:val="0"/>
                      <w:marTop w:val="0"/>
                      <w:marBottom w:val="0"/>
                      <w:divBdr>
                        <w:top w:val="none" w:sz="0" w:space="0" w:color="auto"/>
                        <w:left w:val="none" w:sz="0" w:space="0" w:color="auto"/>
                        <w:bottom w:val="none" w:sz="0" w:space="0" w:color="auto"/>
                        <w:right w:val="none" w:sz="0" w:space="0" w:color="auto"/>
                      </w:divBdr>
                      <w:divsChild>
                        <w:div w:id="119617927">
                          <w:marLeft w:val="0"/>
                          <w:marRight w:val="0"/>
                          <w:marTop w:val="0"/>
                          <w:marBottom w:val="0"/>
                          <w:divBdr>
                            <w:top w:val="none" w:sz="0" w:space="0" w:color="auto"/>
                            <w:left w:val="none" w:sz="0" w:space="0" w:color="auto"/>
                            <w:bottom w:val="none" w:sz="0" w:space="0" w:color="auto"/>
                            <w:right w:val="none" w:sz="0" w:space="0" w:color="auto"/>
                          </w:divBdr>
                          <w:divsChild>
                            <w:div w:id="1931351242">
                              <w:marLeft w:val="0"/>
                              <w:marRight w:val="0"/>
                              <w:marTop w:val="0"/>
                              <w:marBottom w:val="0"/>
                              <w:divBdr>
                                <w:top w:val="none" w:sz="0" w:space="0" w:color="auto"/>
                                <w:left w:val="none" w:sz="0" w:space="0" w:color="auto"/>
                                <w:bottom w:val="none" w:sz="0" w:space="0" w:color="auto"/>
                                <w:right w:val="none" w:sz="0" w:space="0" w:color="auto"/>
                              </w:divBdr>
                              <w:divsChild>
                                <w:div w:id="1630160500">
                                  <w:marLeft w:val="0"/>
                                  <w:marRight w:val="0"/>
                                  <w:marTop w:val="0"/>
                                  <w:marBottom w:val="0"/>
                                  <w:divBdr>
                                    <w:top w:val="none" w:sz="0" w:space="0" w:color="auto"/>
                                    <w:left w:val="none" w:sz="0" w:space="0" w:color="auto"/>
                                    <w:bottom w:val="none" w:sz="0" w:space="0" w:color="auto"/>
                                    <w:right w:val="none" w:sz="0" w:space="0" w:color="auto"/>
                                  </w:divBdr>
                                  <w:divsChild>
                                    <w:div w:id="1177891703">
                                      <w:marLeft w:val="0"/>
                                      <w:marRight w:val="0"/>
                                      <w:marTop w:val="0"/>
                                      <w:marBottom w:val="0"/>
                                      <w:divBdr>
                                        <w:top w:val="none" w:sz="0" w:space="0" w:color="auto"/>
                                        <w:left w:val="none" w:sz="0" w:space="0" w:color="auto"/>
                                        <w:bottom w:val="none" w:sz="0" w:space="0" w:color="auto"/>
                                        <w:right w:val="none" w:sz="0" w:space="0" w:color="auto"/>
                                      </w:divBdr>
                                      <w:divsChild>
                                        <w:div w:id="304512250">
                                          <w:marLeft w:val="0"/>
                                          <w:marRight w:val="0"/>
                                          <w:marTop w:val="0"/>
                                          <w:marBottom w:val="0"/>
                                          <w:divBdr>
                                            <w:top w:val="none" w:sz="0" w:space="0" w:color="auto"/>
                                            <w:left w:val="none" w:sz="0" w:space="0" w:color="auto"/>
                                            <w:bottom w:val="none" w:sz="0" w:space="0" w:color="auto"/>
                                            <w:right w:val="none" w:sz="0" w:space="0" w:color="auto"/>
                                          </w:divBdr>
                                        </w:div>
                                        <w:div w:id="910237205">
                                          <w:marLeft w:val="0"/>
                                          <w:marRight w:val="0"/>
                                          <w:marTop w:val="0"/>
                                          <w:marBottom w:val="0"/>
                                          <w:divBdr>
                                            <w:top w:val="none" w:sz="0" w:space="0" w:color="auto"/>
                                            <w:left w:val="none" w:sz="0" w:space="0" w:color="auto"/>
                                            <w:bottom w:val="none" w:sz="0" w:space="0" w:color="auto"/>
                                            <w:right w:val="none" w:sz="0" w:space="0" w:color="auto"/>
                                          </w:divBdr>
                                        </w:div>
                                        <w:div w:id="199903662">
                                          <w:marLeft w:val="0"/>
                                          <w:marRight w:val="0"/>
                                          <w:marTop w:val="0"/>
                                          <w:marBottom w:val="0"/>
                                          <w:divBdr>
                                            <w:top w:val="none" w:sz="0" w:space="0" w:color="auto"/>
                                            <w:left w:val="none" w:sz="0" w:space="0" w:color="auto"/>
                                            <w:bottom w:val="none" w:sz="0" w:space="0" w:color="auto"/>
                                            <w:right w:val="none" w:sz="0" w:space="0" w:color="auto"/>
                                          </w:divBdr>
                                        </w:div>
                                        <w:div w:id="1104611408">
                                          <w:marLeft w:val="0"/>
                                          <w:marRight w:val="0"/>
                                          <w:marTop w:val="0"/>
                                          <w:marBottom w:val="0"/>
                                          <w:divBdr>
                                            <w:top w:val="none" w:sz="0" w:space="0" w:color="auto"/>
                                            <w:left w:val="none" w:sz="0" w:space="0" w:color="auto"/>
                                            <w:bottom w:val="none" w:sz="0" w:space="0" w:color="auto"/>
                                            <w:right w:val="none" w:sz="0" w:space="0" w:color="auto"/>
                                          </w:divBdr>
                                        </w:div>
                                        <w:div w:id="1818915059">
                                          <w:marLeft w:val="0"/>
                                          <w:marRight w:val="0"/>
                                          <w:marTop w:val="0"/>
                                          <w:marBottom w:val="0"/>
                                          <w:divBdr>
                                            <w:top w:val="none" w:sz="0" w:space="0" w:color="auto"/>
                                            <w:left w:val="none" w:sz="0" w:space="0" w:color="auto"/>
                                            <w:bottom w:val="none" w:sz="0" w:space="0" w:color="auto"/>
                                            <w:right w:val="none" w:sz="0" w:space="0" w:color="auto"/>
                                          </w:divBdr>
                                        </w:div>
                                      </w:divsChild>
                                    </w:div>
                                    <w:div w:id="2011060076">
                                      <w:marLeft w:val="0"/>
                                      <w:marRight w:val="0"/>
                                      <w:marTop w:val="0"/>
                                      <w:marBottom w:val="0"/>
                                      <w:divBdr>
                                        <w:top w:val="none" w:sz="0" w:space="0" w:color="auto"/>
                                        <w:left w:val="none" w:sz="0" w:space="0" w:color="auto"/>
                                        <w:bottom w:val="none" w:sz="0" w:space="0" w:color="auto"/>
                                        <w:right w:val="none" w:sz="0" w:space="0" w:color="auto"/>
                                      </w:divBdr>
                                      <w:divsChild>
                                        <w:div w:id="1850371105">
                                          <w:marLeft w:val="0"/>
                                          <w:marRight w:val="0"/>
                                          <w:marTop w:val="0"/>
                                          <w:marBottom w:val="0"/>
                                          <w:divBdr>
                                            <w:top w:val="none" w:sz="0" w:space="0" w:color="auto"/>
                                            <w:left w:val="none" w:sz="0" w:space="0" w:color="auto"/>
                                            <w:bottom w:val="none" w:sz="0" w:space="0" w:color="auto"/>
                                            <w:right w:val="none" w:sz="0" w:space="0" w:color="auto"/>
                                          </w:divBdr>
                                        </w:div>
                                        <w:div w:id="1650668328">
                                          <w:marLeft w:val="0"/>
                                          <w:marRight w:val="0"/>
                                          <w:marTop w:val="0"/>
                                          <w:marBottom w:val="0"/>
                                          <w:divBdr>
                                            <w:top w:val="none" w:sz="0" w:space="0" w:color="auto"/>
                                            <w:left w:val="none" w:sz="0" w:space="0" w:color="auto"/>
                                            <w:bottom w:val="none" w:sz="0" w:space="0" w:color="auto"/>
                                            <w:right w:val="none" w:sz="0" w:space="0" w:color="auto"/>
                                          </w:divBdr>
                                        </w:div>
                                        <w:div w:id="754860850">
                                          <w:marLeft w:val="0"/>
                                          <w:marRight w:val="0"/>
                                          <w:marTop w:val="0"/>
                                          <w:marBottom w:val="0"/>
                                          <w:divBdr>
                                            <w:top w:val="none" w:sz="0" w:space="0" w:color="auto"/>
                                            <w:left w:val="none" w:sz="0" w:space="0" w:color="auto"/>
                                            <w:bottom w:val="none" w:sz="0" w:space="0" w:color="auto"/>
                                            <w:right w:val="none" w:sz="0" w:space="0" w:color="auto"/>
                                          </w:divBdr>
                                        </w:div>
                                        <w:div w:id="54861161">
                                          <w:marLeft w:val="0"/>
                                          <w:marRight w:val="0"/>
                                          <w:marTop w:val="0"/>
                                          <w:marBottom w:val="0"/>
                                          <w:divBdr>
                                            <w:top w:val="none" w:sz="0" w:space="0" w:color="auto"/>
                                            <w:left w:val="none" w:sz="0" w:space="0" w:color="auto"/>
                                            <w:bottom w:val="none" w:sz="0" w:space="0" w:color="auto"/>
                                            <w:right w:val="none" w:sz="0" w:space="0" w:color="auto"/>
                                          </w:divBdr>
                                        </w:div>
                                        <w:div w:id="140129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0157905">
      <w:bodyDiv w:val="1"/>
      <w:marLeft w:val="0"/>
      <w:marRight w:val="0"/>
      <w:marTop w:val="0"/>
      <w:marBottom w:val="0"/>
      <w:divBdr>
        <w:top w:val="none" w:sz="0" w:space="0" w:color="auto"/>
        <w:left w:val="none" w:sz="0" w:space="0" w:color="auto"/>
        <w:bottom w:val="none" w:sz="0" w:space="0" w:color="auto"/>
        <w:right w:val="none" w:sz="0" w:space="0" w:color="auto"/>
      </w:divBdr>
      <w:divsChild>
        <w:div w:id="2043967922">
          <w:marLeft w:val="0"/>
          <w:marRight w:val="0"/>
          <w:marTop w:val="0"/>
          <w:marBottom w:val="0"/>
          <w:divBdr>
            <w:top w:val="none" w:sz="0" w:space="0" w:color="auto"/>
            <w:left w:val="none" w:sz="0" w:space="0" w:color="auto"/>
            <w:bottom w:val="none" w:sz="0" w:space="0" w:color="auto"/>
            <w:right w:val="none" w:sz="0" w:space="0" w:color="auto"/>
          </w:divBdr>
          <w:divsChild>
            <w:div w:id="545534355">
              <w:marLeft w:val="0"/>
              <w:marRight w:val="0"/>
              <w:marTop w:val="100"/>
              <w:marBottom w:val="100"/>
              <w:divBdr>
                <w:top w:val="none" w:sz="0" w:space="0" w:color="auto"/>
                <w:left w:val="none" w:sz="0" w:space="0" w:color="auto"/>
                <w:bottom w:val="none" w:sz="0" w:space="0" w:color="auto"/>
                <w:right w:val="none" w:sz="0" w:space="0" w:color="auto"/>
              </w:divBdr>
              <w:divsChild>
                <w:div w:id="1819029138">
                  <w:marLeft w:val="0"/>
                  <w:marRight w:val="0"/>
                  <w:marTop w:val="100"/>
                  <w:marBottom w:val="100"/>
                  <w:divBdr>
                    <w:top w:val="none" w:sz="0" w:space="0" w:color="auto"/>
                    <w:left w:val="none" w:sz="0" w:space="0" w:color="auto"/>
                    <w:bottom w:val="none" w:sz="0" w:space="0" w:color="auto"/>
                    <w:right w:val="none" w:sz="0" w:space="0" w:color="auto"/>
                  </w:divBdr>
                  <w:divsChild>
                    <w:div w:id="760561718">
                      <w:marLeft w:val="0"/>
                      <w:marRight w:val="0"/>
                      <w:marTop w:val="0"/>
                      <w:marBottom w:val="0"/>
                      <w:divBdr>
                        <w:top w:val="none" w:sz="0" w:space="0" w:color="auto"/>
                        <w:left w:val="none" w:sz="0" w:space="0" w:color="auto"/>
                        <w:bottom w:val="none" w:sz="0" w:space="0" w:color="auto"/>
                        <w:right w:val="none" w:sz="0" w:space="0" w:color="auto"/>
                      </w:divBdr>
                      <w:divsChild>
                        <w:div w:id="439302229">
                          <w:marLeft w:val="0"/>
                          <w:marRight w:val="0"/>
                          <w:marTop w:val="0"/>
                          <w:marBottom w:val="0"/>
                          <w:divBdr>
                            <w:top w:val="none" w:sz="0" w:space="0" w:color="auto"/>
                            <w:left w:val="none" w:sz="0" w:space="0" w:color="auto"/>
                            <w:bottom w:val="none" w:sz="0" w:space="0" w:color="auto"/>
                            <w:right w:val="none" w:sz="0" w:space="0" w:color="auto"/>
                          </w:divBdr>
                          <w:divsChild>
                            <w:div w:id="1361081653">
                              <w:marLeft w:val="0"/>
                              <w:marRight w:val="0"/>
                              <w:marTop w:val="0"/>
                              <w:marBottom w:val="0"/>
                              <w:divBdr>
                                <w:top w:val="none" w:sz="0" w:space="0" w:color="auto"/>
                                <w:left w:val="none" w:sz="0" w:space="0" w:color="auto"/>
                                <w:bottom w:val="none" w:sz="0" w:space="0" w:color="auto"/>
                                <w:right w:val="none" w:sz="0" w:space="0" w:color="auto"/>
                              </w:divBdr>
                              <w:divsChild>
                                <w:div w:id="1605578046">
                                  <w:marLeft w:val="0"/>
                                  <w:marRight w:val="0"/>
                                  <w:marTop w:val="0"/>
                                  <w:marBottom w:val="0"/>
                                  <w:divBdr>
                                    <w:top w:val="none" w:sz="0" w:space="0" w:color="auto"/>
                                    <w:left w:val="none" w:sz="0" w:space="0" w:color="auto"/>
                                    <w:bottom w:val="none" w:sz="0" w:space="0" w:color="auto"/>
                                    <w:right w:val="none" w:sz="0" w:space="0" w:color="auto"/>
                                  </w:divBdr>
                                  <w:divsChild>
                                    <w:div w:id="656374203">
                                      <w:marLeft w:val="0"/>
                                      <w:marRight w:val="0"/>
                                      <w:marTop w:val="0"/>
                                      <w:marBottom w:val="0"/>
                                      <w:divBdr>
                                        <w:top w:val="none" w:sz="0" w:space="0" w:color="auto"/>
                                        <w:left w:val="none" w:sz="0" w:space="0" w:color="auto"/>
                                        <w:bottom w:val="none" w:sz="0" w:space="0" w:color="auto"/>
                                        <w:right w:val="none" w:sz="0" w:space="0" w:color="auto"/>
                                      </w:divBdr>
                                    </w:div>
                                    <w:div w:id="391930389">
                                      <w:marLeft w:val="0"/>
                                      <w:marRight w:val="0"/>
                                      <w:marTop w:val="0"/>
                                      <w:marBottom w:val="0"/>
                                      <w:divBdr>
                                        <w:top w:val="none" w:sz="0" w:space="0" w:color="auto"/>
                                        <w:left w:val="none" w:sz="0" w:space="0" w:color="auto"/>
                                        <w:bottom w:val="none" w:sz="0" w:space="0" w:color="auto"/>
                                        <w:right w:val="none" w:sz="0" w:space="0" w:color="auto"/>
                                      </w:divBdr>
                                    </w:div>
                                  </w:divsChild>
                                </w:div>
                                <w:div w:id="2086878594">
                                  <w:marLeft w:val="0"/>
                                  <w:marRight w:val="0"/>
                                  <w:marTop w:val="0"/>
                                  <w:marBottom w:val="0"/>
                                  <w:divBdr>
                                    <w:top w:val="none" w:sz="0" w:space="0" w:color="auto"/>
                                    <w:left w:val="none" w:sz="0" w:space="0" w:color="auto"/>
                                    <w:bottom w:val="none" w:sz="0" w:space="0" w:color="auto"/>
                                    <w:right w:val="none" w:sz="0" w:space="0" w:color="auto"/>
                                  </w:divBdr>
                                  <w:divsChild>
                                    <w:div w:id="1131554970">
                                      <w:marLeft w:val="0"/>
                                      <w:marRight w:val="0"/>
                                      <w:marTop w:val="0"/>
                                      <w:marBottom w:val="0"/>
                                      <w:divBdr>
                                        <w:top w:val="none" w:sz="0" w:space="0" w:color="auto"/>
                                        <w:left w:val="none" w:sz="0" w:space="0" w:color="auto"/>
                                        <w:bottom w:val="none" w:sz="0" w:space="0" w:color="auto"/>
                                        <w:right w:val="none" w:sz="0" w:space="0" w:color="auto"/>
                                      </w:divBdr>
                                    </w:div>
                                    <w:div w:id="717315605">
                                      <w:marLeft w:val="0"/>
                                      <w:marRight w:val="0"/>
                                      <w:marTop w:val="0"/>
                                      <w:marBottom w:val="0"/>
                                      <w:divBdr>
                                        <w:top w:val="none" w:sz="0" w:space="0" w:color="auto"/>
                                        <w:left w:val="none" w:sz="0" w:space="0" w:color="auto"/>
                                        <w:bottom w:val="none" w:sz="0" w:space="0" w:color="auto"/>
                                        <w:right w:val="none" w:sz="0" w:space="0" w:color="auto"/>
                                      </w:divBdr>
                                    </w:div>
                                  </w:divsChild>
                                </w:div>
                                <w:div w:id="1517889989">
                                  <w:marLeft w:val="0"/>
                                  <w:marRight w:val="0"/>
                                  <w:marTop w:val="0"/>
                                  <w:marBottom w:val="0"/>
                                  <w:divBdr>
                                    <w:top w:val="none" w:sz="0" w:space="0" w:color="auto"/>
                                    <w:left w:val="none" w:sz="0" w:space="0" w:color="auto"/>
                                    <w:bottom w:val="none" w:sz="0" w:space="0" w:color="auto"/>
                                    <w:right w:val="none" w:sz="0" w:space="0" w:color="auto"/>
                                  </w:divBdr>
                                  <w:divsChild>
                                    <w:div w:id="888037135">
                                      <w:marLeft w:val="0"/>
                                      <w:marRight w:val="0"/>
                                      <w:marTop w:val="0"/>
                                      <w:marBottom w:val="0"/>
                                      <w:divBdr>
                                        <w:top w:val="none" w:sz="0" w:space="0" w:color="auto"/>
                                        <w:left w:val="none" w:sz="0" w:space="0" w:color="auto"/>
                                        <w:bottom w:val="none" w:sz="0" w:space="0" w:color="auto"/>
                                        <w:right w:val="none" w:sz="0" w:space="0" w:color="auto"/>
                                      </w:divBdr>
                                    </w:div>
                                    <w:div w:id="501775741">
                                      <w:marLeft w:val="0"/>
                                      <w:marRight w:val="0"/>
                                      <w:marTop w:val="0"/>
                                      <w:marBottom w:val="0"/>
                                      <w:divBdr>
                                        <w:top w:val="none" w:sz="0" w:space="0" w:color="auto"/>
                                        <w:left w:val="none" w:sz="0" w:space="0" w:color="auto"/>
                                        <w:bottom w:val="none" w:sz="0" w:space="0" w:color="auto"/>
                                        <w:right w:val="none" w:sz="0" w:space="0" w:color="auto"/>
                                      </w:divBdr>
                                      <w:divsChild>
                                        <w:div w:id="180369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32609">
                                  <w:marLeft w:val="0"/>
                                  <w:marRight w:val="0"/>
                                  <w:marTop w:val="0"/>
                                  <w:marBottom w:val="0"/>
                                  <w:divBdr>
                                    <w:top w:val="none" w:sz="0" w:space="0" w:color="auto"/>
                                    <w:left w:val="none" w:sz="0" w:space="0" w:color="auto"/>
                                    <w:bottom w:val="none" w:sz="0" w:space="0" w:color="auto"/>
                                    <w:right w:val="none" w:sz="0" w:space="0" w:color="auto"/>
                                  </w:divBdr>
                                  <w:divsChild>
                                    <w:div w:id="69693953">
                                      <w:marLeft w:val="0"/>
                                      <w:marRight w:val="0"/>
                                      <w:marTop w:val="0"/>
                                      <w:marBottom w:val="0"/>
                                      <w:divBdr>
                                        <w:top w:val="none" w:sz="0" w:space="0" w:color="auto"/>
                                        <w:left w:val="none" w:sz="0" w:space="0" w:color="auto"/>
                                        <w:bottom w:val="none" w:sz="0" w:space="0" w:color="auto"/>
                                        <w:right w:val="none" w:sz="0" w:space="0" w:color="auto"/>
                                      </w:divBdr>
                                    </w:div>
                                    <w:div w:id="1211502139">
                                      <w:marLeft w:val="0"/>
                                      <w:marRight w:val="0"/>
                                      <w:marTop w:val="0"/>
                                      <w:marBottom w:val="0"/>
                                      <w:divBdr>
                                        <w:top w:val="none" w:sz="0" w:space="0" w:color="auto"/>
                                        <w:left w:val="none" w:sz="0" w:space="0" w:color="auto"/>
                                        <w:bottom w:val="none" w:sz="0" w:space="0" w:color="auto"/>
                                        <w:right w:val="none" w:sz="0" w:space="0" w:color="auto"/>
                                      </w:divBdr>
                                    </w:div>
                                  </w:divsChild>
                                </w:div>
                                <w:div w:id="1309436506">
                                  <w:marLeft w:val="0"/>
                                  <w:marRight w:val="0"/>
                                  <w:marTop w:val="0"/>
                                  <w:marBottom w:val="0"/>
                                  <w:divBdr>
                                    <w:top w:val="none" w:sz="0" w:space="0" w:color="auto"/>
                                    <w:left w:val="none" w:sz="0" w:space="0" w:color="auto"/>
                                    <w:bottom w:val="none" w:sz="0" w:space="0" w:color="auto"/>
                                    <w:right w:val="none" w:sz="0" w:space="0" w:color="auto"/>
                                  </w:divBdr>
                                  <w:divsChild>
                                    <w:div w:id="39787130">
                                      <w:marLeft w:val="0"/>
                                      <w:marRight w:val="0"/>
                                      <w:marTop w:val="0"/>
                                      <w:marBottom w:val="0"/>
                                      <w:divBdr>
                                        <w:top w:val="none" w:sz="0" w:space="0" w:color="auto"/>
                                        <w:left w:val="none" w:sz="0" w:space="0" w:color="auto"/>
                                        <w:bottom w:val="none" w:sz="0" w:space="0" w:color="auto"/>
                                        <w:right w:val="none" w:sz="0" w:space="0" w:color="auto"/>
                                      </w:divBdr>
                                    </w:div>
                                    <w:div w:id="1386023285">
                                      <w:marLeft w:val="0"/>
                                      <w:marRight w:val="0"/>
                                      <w:marTop w:val="0"/>
                                      <w:marBottom w:val="0"/>
                                      <w:divBdr>
                                        <w:top w:val="none" w:sz="0" w:space="0" w:color="auto"/>
                                        <w:left w:val="none" w:sz="0" w:space="0" w:color="auto"/>
                                        <w:bottom w:val="none" w:sz="0" w:space="0" w:color="auto"/>
                                        <w:right w:val="none" w:sz="0" w:space="0" w:color="auto"/>
                                      </w:divBdr>
                                    </w:div>
                                  </w:divsChild>
                                </w:div>
                                <w:div w:id="1331366779">
                                  <w:marLeft w:val="0"/>
                                  <w:marRight w:val="0"/>
                                  <w:marTop w:val="0"/>
                                  <w:marBottom w:val="0"/>
                                  <w:divBdr>
                                    <w:top w:val="none" w:sz="0" w:space="0" w:color="auto"/>
                                    <w:left w:val="none" w:sz="0" w:space="0" w:color="auto"/>
                                    <w:bottom w:val="none" w:sz="0" w:space="0" w:color="auto"/>
                                    <w:right w:val="none" w:sz="0" w:space="0" w:color="auto"/>
                                  </w:divBdr>
                                  <w:divsChild>
                                    <w:div w:id="685640954">
                                      <w:marLeft w:val="0"/>
                                      <w:marRight w:val="0"/>
                                      <w:marTop w:val="0"/>
                                      <w:marBottom w:val="0"/>
                                      <w:divBdr>
                                        <w:top w:val="none" w:sz="0" w:space="0" w:color="auto"/>
                                        <w:left w:val="none" w:sz="0" w:space="0" w:color="auto"/>
                                        <w:bottom w:val="none" w:sz="0" w:space="0" w:color="auto"/>
                                        <w:right w:val="none" w:sz="0" w:space="0" w:color="auto"/>
                                      </w:divBdr>
                                      <w:divsChild>
                                        <w:div w:id="1399135977">
                                          <w:marLeft w:val="0"/>
                                          <w:marRight w:val="0"/>
                                          <w:marTop w:val="0"/>
                                          <w:marBottom w:val="0"/>
                                          <w:divBdr>
                                            <w:top w:val="none" w:sz="0" w:space="0" w:color="auto"/>
                                            <w:left w:val="none" w:sz="0" w:space="0" w:color="auto"/>
                                            <w:bottom w:val="none" w:sz="0" w:space="0" w:color="auto"/>
                                            <w:right w:val="none" w:sz="0" w:space="0" w:color="auto"/>
                                          </w:divBdr>
                                          <w:divsChild>
                                            <w:div w:id="718363353">
                                              <w:marLeft w:val="0"/>
                                              <w:marRight w:val="0"/>
                                              <w:marTop w:val="0"/>
                                              <w:marBottom w:val="0"/>
                                              <w:divBdr>
                                                <w:top w:val="none" w:sz="0" w:space="0" w:color="auto"/>
                                                <w:left w:val="none" w:sz="0" w:space="0" w:color="auto"/>
                                                <w:bottom w:val="none" w:sz="0" w:space="0" w:color="auto"/>
                                                <w:right w:val="none" w:sz="0" w:space="0" w:color="auto"/>
                                              </w:divBdr>
                                            </w:div>
                                          </w:divsChild>
                                        </w:div>
                                        <w:div w:id="16688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7542">
                                  <w:marLeft w:val="0"/>
                                  <w:marRight w:val="0"/>
                                  <w:marTop w:val="0"/>
                                  <w:marBottom w:val="0"/>
                                  <w:divBdr>
                                    <w:top w:val="none" w:sz="0" w:space="0" w:color="auto"/>
                                    <w:left w:val="none" w:sz="0" w:space="0" w:color="auto"/>
                                    <w:bottom w:val="none" w:sz="0" w:space="0" w:color="auto"/>
                                    <w:right w:val="none" w:sz="0" w:space="0" w:color="auto"/>
                                  </w:divBdr>
                                  <w:divsChild>
                                    <w:div w:id="83378512">
                                      <w:marLeft w:val="0"/>
                                      <w:marRight w:val="0"/>
                                      <w:marTop w:val="0"/>
                                      <w:marBottom w:val="0"/>
                                      <w:divBdr>
                                        <w:top w:val="none" w:sz="0" w:space="0" w:color="auto"/>
                                        <w:left w:val="none" w:sz="0" w:space="0" w:color="auto"/>
                                        <w:bottom w:val="none" w:sz="0" w:space="0" w:color="auto"/>
                                        <w:right w:val="none" w:sz="0" w:space="0" w:color="auto"/>
                                      </w:divBdr>
                                    </w:div>
                                    <w:div w:id="797650917">
                                      <w:marLeft w:val="0"/>
                                      <w:marRight w:val="0"/>
                                      <w:marTop w:val="0"/>
                                      <w:marBottom w:val="0"/>
                                      <w:divBdr>
                                        <w:top w:val="none" w:sz="0" w:space="0" w:color="auto"/>
                                        <w:left w:val="none" w:sz="0" w:space="0" w:color="auto"/>
                                        <w:bottom w:val="none" w:sz="0" w:space="0" w:color="auto"/>
                                        <w:right w:val="none" w:sz="0" w:space="0" w:color="auto"/>
                                      </w:divBdr>
                                    </w:div>
                                  </w:divsChild>
                                </w:div>
                                <w:div w:id="1367802320">
                                  <w:marLeft w:val="0"/>
                                  <w:marRight w:val="0"/>
                                  <w:marTop w:val="0"/>
                                  <w:marBottom w:val="0"/>
                                  <w:divBdr>
                                    <w:top w:val="none" w:sz="0" w:space="0" w:color="auto"/>
                                    <w:left w:val="none" w:sz="0" w:space="0" w:color="auto"/>
                                    <w:bottom w:val="none" w:sz="0" w:space="0" w:color="auto"/>
                                    <w:right w:val="none" w:sz="0" w:space="0" w:color="auto"/>
                                  </w:divBdr>
                                  <w:divsChild>
                                    <w:div w:id="2082754921">
                                      <w:marLeft w:val="0"/>
                                      <w:marRight w:val="0"/>
                                      <w:marTop w:val="0"/>
                                      <w:marBottom w:val="0"/>
                                      <w:divBdr>
                                        <w:top w:val="none" w:sz="0" w:space="0" w:color="auto"/>
                                        <w:left w:val="none" w:sz="0" w:space="0" w:color="auto"/>
                                        <w:bottom w:val="none" w:sz="0" w:space="0" w:color="auto"/>
                                        <w:right w:val="none" w:sz="0" w:space="0" w:color="auto"/>
                                      </w:divBdr>
                                      <w:divsChild>
                                        <w:div w:id="1849248028">
                                          <w:marLeft w:val="0"/>
                                          <w:marRight w:val="0"/>
                                          <w:marTop w:val="0"/>
                                          <w:marBottom w:val="0"/>
                                          <w:divBdr>
                                            <w:top w:val="none" w:sz="0" w:space="0" w:color="auto"/>
                                            <w:left w:val="none" w:sz="0" w:space="0" w:color="auto"/>
                                            <w:bottom w:val="none" w:sz="0" w:space="0" w:color="auto"/>
                                            <w:right w:val="none" w:sz="0" w:space="0" w:color="auto"/>
                                          </w:divBdr>
                                          <w:divsChild>
                                            <w:div w:id="946277063">
                                              <w:marLeft w:val="0"/>
                                              <w:marRight w:val="0"/>
                                              <w:marTop w:val="0"/>
                                              <w:marBottom w:val="0"/>
                                              <w:divBdr>
                                                <w:top w:val="none" w:sz="0" w:space="0" w:color="auto"/>
                                                <w:left w:val="none" w:sz="0" w:space="0" w:color="auto"/>
                                                <w:bottom w:val="none" w:sz="0" w:space="0" w:color="auto"/>
                                                <w:right w:val="none" w:sz="0" w:space="0" w:color="auto"/>
                                              </w:divBdr>
                                            </w:div>
                                          </w:divsChild>
                                        </w:div>
                                        <w:div w:id="14030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1600">
                                  <w:marLeft w:val="0"/>
                                  <w:marRight w:val="0"/>
                                  <w:marTop w:val="0"/>
                                  <w:marBottom w:val="0"/>
                                  <w:divBdr>
                                    <w:top w:val="none" w:sz="0" w:space="0" w:color="auto"/>
                                    <w:left w:val="none" w:sz="0" w:space="0" w:color="auto"/>
                                    <w:bottom w:val="none" w:sz="0" w:space="0" w:color="auto"/>
                                    <w:right w:val="none" w:sz="0" w:space="0" w:color="auto"/>
                                  </w:divBdr>
                                  <w:divsChild>
                                    <w:div w:id="577594855">
                                      <w:marLeft w:val="0"/>
                                      <w:marRight w:val="0"/>
                                      <w:marTop w:val="0"/>
                                      <w:marBottom w:val="0"/>
                                      <w:divBdr>
                                        <w:top w:val="none" w:sz="0" w:space="0" w:color="auto"/>
                                        <w:left w:val="none" w:sz="0" w:space="0" w:color="auto"/>
                                        <w:bottom w:val="none" w:sz="0" w:space="0" w:color="auto"/>
                                        <w:right w:val="none" w:sz="0" w:space="0" w:color="auto"/>
                                      </w:divBdr>
                                    </w:div>
                                    <w:div w:id="16744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296448">
      <w:bodyDiv w:val="1"/>
      <w:marLeft w:val="0"/>
      <w:marRight w:val="0"/>
      <w:marTop w:val="0"/>
      <w:marBottom w:val="0"/>
      <w:divBdr>
        <w:top w:val="none" w:sz="0" w:space="0" w:color="auto"/>
        <w:left w:val="none" w:sz="0" w:space="0" w:color="auto"/>
        <w:bottom w:val="none" w:sz="0" w:space="0" w:color="auto"/>
        <w:right w:val="none" w:sz="0" w:space="0" w:color="auto"/>
      </w:divBdr>
    </w:div>
    <w:div w:id="1177963656">
      <w:bodyDiv w:val="1"/>
      <w:marLeft w:val="0"/>
      <w:marRight w:val="0"/>
      <w:marTop w:val="0"/>
      <w:marBottom w:val="0"/>
      <w:divBdr>
        <w:top w:val="none" w:sz="0" w:space="0" w:color="auto"/>
        <w:left w:val="none" w:sz="0" w:space="0" w:color="auto"/>
        <w:bottom w:val="none" w:sz="0" w:space="0" w:color="auto"/>
        <w:right w:val="none" w:sz="0" w:space="0" w:color="auto"/>
      </w:divBdr>
    </w:div>
    <w:div w:id="1321495007">
      <w:bodyDiv w:val="1"/>
      <w:marLeft w:val="0"/>
      <w:marRight w:val="0"/>
      <w:marTop w:val="0"/>
      <w:marBottom w:val="0"/>
      <w:divBdr>
        <w:top w:val="none" w:sz="0" w:space="0" w:color="auto"/>
        <w:left w:val="none" w:sz="0" w:space="0" w:color="auto"/>
        <w:bottom w:val="none" w:sz="0" w:space="0" w:color="auto"/>
        <w:right w:val="none" w:sz="0" w:space="0" w:color="auto"/>
      </w:divBdr>
    </w:div>
    <w:div w:id="1545101235">
      <w:bodyDiv w:val="1"/>
      <w:marLeft w:val="0"/>
      <w:marRight w:val="0"/>
      <w:marTop w:val="0"/>
      <w:marBottom w:val="0"/>
      <w:divBdr>
        <w:top w:val="none" w:sz="0" w:space="0" w:color="auto"/>
        <w:left w:val="none" w:sz="0" w:space="0" w:color="auto"/>
        <w:bottom w:val="none" w:sz="0" w:space="0" w:color="auto"/>
        <w:right w:val="none" w:sz="0" w:space="0" w:color="auto"/>
      </w:divBdr>
    </w:div>
    <w:div w:id="1891915383">
      <w:bodyDiv w:val="1"/>
      <w:marLeft w:val="0"/>
      <w:marRight w:val="0"/>
      <w:marTop w:val="0"/>
      <w:marBottom w:val="0"/>
      <w:divBdr>
        <w:top w:val="none" w:sz="0" w:space="0" w:color="auto"/>
        <w:left w:val="none" w:sz="0" w:space="0" w:color="auto"/>
        <w:bottom w:val="none" w:sz="0" w:space="0" w:color="auto"/>
        <w:right w:val="none" w:sz="0" w:space="0" w:color="auto"/>
      </w:divBdr>
    </w:div>
    <w:div w:id="1901820549">
      <w:bodyDiv w:val="1"/>
      <w:marLeft w:val="0"/>
      <w:marRight w:val="0"/>
      <w:marTop w:val="0"/>
      <w:marBottom w:val="0"/>
      <w:divBdr>
        <w:top w:val="none" w:sz="0" w:space="0" w:color="auto"/>
        <w:left w:val="none" w:sz="0" w:space="0" w:color="auto"/>
        <w:bottom w:val="none" w:sz="0" w:space="0" w:color="auto"/>
        <w:right w:val="none" w:sz="0" w:space="0" w:color="auto"/>
      </w:divBdr>
    </w:div>
    <w:div w:id="203792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D7CC2-FBA1-4F40-BA09-BE577BD8F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Shakes Moorosi</dc:creator>
  <cp:keywords/>
  <dc:description/>
  <cp:lastModifiedBy>Shanyana Moorosi</cp:lastModifiedBy>
  <cp:revision>30</cp:revision>
  <cp:lastPrinted>2019-05-09T12:00:00Z</cp:lastPrinted>
  <dcterms:created xsi:type="dcterms:W3CDTF">2019-05-29T13:36:00Z</dcterms:created>
  <dcterms:modified xsi:type="dcterms:W3CDTF">2020-03-20T08:02:00Z</dcterms:modified>
</cp:coreProperties>
</file>